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62AF" w14:textId="2BC2ED1C" w:rsidR="00335710" w:rsidRPr="00C013A7" w:rsidRDefault="00741837" w:rsidP="00F71976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C013A7">
        <w:rPr>
          <w:b/>
          <w:bCs/>
          <w:sz w:val="28"/>
          <w:szCs w:val="28"/>
          <w:lang w:eastAsia="uk-UA"/>
        </w:rPr>
        <w:t>ПОЯСНЮВАЛЬНА ЗАПИСКА</w:t>
      </w:r>
      <w:r w:rsidRPr="00C013A7">
        <w:rPr>
          <w:sz w:val="28"/>
          <w:szCs w:val="28"/>
          <w:lang w:eastAsia="uk-UA"/>
        </w:rPr>
        <w:br/>
      </w:r>
      <w:r w:rsidRPr="00C013A7">
        <w:rPr>
          <w:b/>
          <w:bCs/>
          <w:sz w:val="28"/>
          <w:szCs w:val="28"/>
          <w:lang w:eastAsia="uk-UA"/>
        </w:rPr>
        <w:t xml:space="preserve">до </w:t>
      </w:r>
      <w:proofErr w:type="spellStart"/>
      <w:r w:rsidR="003D0E70" w:rsidRPr="003D0E70">
        <w:rPr>
          <w:b/>
          <w:bCs/>
          <w:sz w:val="28"/>
          <w:szCs w:val="28"/>
          <w:lang w:eastAsia="uk-UA"/>
        </w:rPr>
        <w:t>проєкту</w:t>
      </w:r>
      <w:proofErr w:type="spellEnd"/>
      <w:r w:rsidR="003D0E70" w:rsidRPr="003D0E70">
        <w:rPr>
          <w:b/>
          <w:bCs/>
          <w:sz w:val="28"/>
          <w:szCs w:val="28"/>
          <w:lang w:eastAsia="uk-UA"/>
        </w:rPr>
        <w:t xml:space="preserve"> Закону України «</w:t>
      </w:r>
      <w:bookmarkStart w:id="0" w:name="_Hlk183164036"/>
      <w:r w:rsidR="003D0E70" w:rsidRPr="003D0E70">
        <w:rPr>
          <w:b/>
          <w:bCs/>
          <w:sz w:val="28"/>
          <w:szCs w:val="28"/>
          <w:lang w:eastAsia="uk-UA"/>
        </w:rPr>
        <w:t>Про внесення змін до Закону України «Про державне регулювання діяльності щодо організації та проведення азартних ігор» щодо захисту прав гравців</w:t>
      </w:r>
      <w:bookmarkEnd w:id="0"/>
      <w:r w:rsidR="003D0E70" w:rsidRPr="003D0E70">
        <w:rPr>
          <w:b/>
          <w:bCs/>
          <w:sz w:val="28"/>
          <w:szCs w:val="28"/>
          <w:lang w:eastAsia="uk-UA"/>
        </w:rPr>
        <w:t>»</w:t>
      </w:r>
    </w:p>
    <w:p w14:paraId="7249A3F8" w14:textId="77777777" w:rsidR="00335710" w:rsidRPr="00762783" w:rsidRDefault="00335710">
      <w:pPr>
        <w:suppressAutoHyphens/>
        <w:ind w:right="-81"/>
        <w:jc w:val="center"/>
        <w:rPr>
          <w:b/>
          <w:bCs/>
          <w:sz w:val="16"/>
          <w:szCs w:val="16"/>
          <w:lang w:eastAsia="uk-UA"/>
        </w:rPr>
      </w:pPr>
    </w:p>
    <w:p w14:paraId="0E245D7A" w14:textId="77777777" w:rsidR="00335710" w:rsidRPr="00C013A7" w:rsidRDefault="00741837" w:rsidP="00C74D44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C013A7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2422D8E1" w14:textId="2E149418" w:rsidR="00335710" w:rsidRPr="00C013A7" w:rsidRDefault="00DC3CCD" w:rsidP="00C74D44">
      <w:pPr>
        <w:pStyle w:val="ae"/>
        <w:suppressAutoHyphens/>
        <w:ind w:left="0" w:firstLine="567"/>
        <w:jc w:val="both"/>
        <w:rPr>
          <w:rStyle w:val="rvts23"/>
          <w:rFonts w:eastAsia="NSimSun"/>
          <w:sz w:val="28"/>
          <w:szCs w:val="28"/>
        </w:rPr>
      </w:pPr>
      <w:proofErr w:type="spellStart"/>
      <w:r w:rsidRPr="00C013A7">
        <w:rPr>
          <w:sz w:val="28"/>
          <w:szCs w:val="28"/>
          <w:lang w:eastAsia="uk-UA"/>
        </w:rPr>
        <w:t>П</w:t>
      </w:r>
      <w:r w:rsidR="00741837" w:rsidRPr="00C013A7">
        <w:rPr>
          <w:sz w:val="28"/>
          <w:szCs w:val="28"/>
          <w:lang w:eastAsia="uk-UA"/>
        </w:rPr>
        <w:t>роєкт</w:t>
      </w:r>
      <w:proofErr w:type="spellEnd"/>
      <w:r w:rsidR="00741837" w:rsidRPr="00C013A7">
        <w:rPr>
          <w:sz w:val="28"/>
          <w:szCs w:val="28"/>
          <w:lang w:eastAsia="uk-UA"/>
        </w:rPr>
        <w:t xml:space="preserve"> </w:t>
      </w:r>
      <w:r w:rsidR="006A38C7" w:rsidRPr="00C013A7">
        <w:rPr>
          <w:sz w:val="28"/>
          <w:szCs w:val="28"/>
          <w:lang w:eastAsia="uk-UA"/>
        </w:rPr>
        <w:t xml:space="preserve">Закону України </w:t>
      </w:r>
      <w:r w:rsidR="000C0B3B" w:rsidRPr="000C0B3B">
        <w:rPr>
          <w:sz w:val="28"/>
          <w:szCs w:val="28"/>
          <w:lang w:eastAsia="uk-UA"/>
        </w:rPr>
        <w:t xml:space="preserve">«Про внесення змін до Закону України «Про державне регулювання діяльності щодо організації та проведення азартних ігор» щодо захисту прав гравців» </w:t>
      </w:r>
      <w:r w:rsidR="00741837" w:rsidRPr="00C013A7">
        <w:rPr>
          <w:sz w:val="28"/>
          <w:szCs w:val="28"/>
          <w:lang w:eastAsia="uk-UA"/>
        </w:rPr>
        <w:t xml:space="preserve">(далі </w:t>
      </w:r>
      <w:r w:rsidR="00E70434" w:rsidRPr="00A8266D">
        <w:rPr>
          <w:rFonts w:eastAsia="Times New Roman"/>
          <w:bCs/>
          <w:sz w:val="28"/>
          <w:szCs w:val="28"/>
        </w:rPr>
        <w:t>–</w:t>
      </w:r>
      <w:r w:rsidR="00741837" w:rsidRPr="00C013A7">
        <w:rPr>
          <w:sz w:val="28"/>
          <w:szCs w:val="28"/>
          <w:lang w:eastAsia="uk-UA"/>
        </w:rPr>
        <w:t xml:space="preserve"> </w:t>
      </w:r>
      <w:proofErr w:type="spellStart"/>
      <w:r w:rsidR="009B08A6" w:rsidRPr="00C013A7">
        <w:rPr>
          <w:sz w:val="28"/>
          <w:szCs w:val="28"/>
          <w:lang w:eastAsia="uk-UA"/>
        </w:rPr>
        <w:t>п</w:t>
      </w:r>
      <w:r w:rsidR="00741837" w:rsidRPr="00C013A7">
        <w:rPr>
          <w:sz w:val="28"/>
          <w:szCs w:val="28"/>
          <w:lang w:eastAsia="uk-UA"/>
        </w:rPr>
        <w:t>роєкт</w:t>
      </w:r>
      <w:proofErr w:type="spellEnd"/>
      <w:r w:rsidR="00D05611" w:rsidRPr="00C013A7">
        <w:rPr>
          <w:sz w:val="28"/>
          <w:szCs w:val="28"/>
          <w:lang w:eastAsia="uk-UA"/>
        </w:rPr>
        <w:t xml:space="preserve"> Закону</w:t>
      </w:r>
      <w:r w:rsidR="00741837" w:rsidRPr="00C013A7">
        <w:rPr>
          <w:sz w:val="28"/>
          <w:szCs w:val="28"/>
          <w:lang w:eastAsia="uk-UA"/>
        </w:rPr>
        <w:t xml:space="preserve">) </w:t>
      </w:r>
      <w:r w:rsidRPr="00C013A7">
        <w:rPr>
          <w:sz w:val="28"/>
          <w:szCs w:val="28"/>
          <w:lang w:eastAsia="uk-UA"/>
        </w:rPr>
        <w:t xml:space="preserve">розроблено з метою </w:t>
      </w:r>
      <w:bookmarkStart w:id="1" w:name="_Hlk185324588"/>
      <w:r w:rsidR="000C0B3B" w:rsidRPr="000C0B3B">
        <w:rPr>
          <w:sz w:val="28"/>
          <w:szCs w:val="28"/>
          <w:lang w:eastAsia="uk-UA"/>
        </w:rPr>
        <w:t>вдосконален</w:t>
      </w:r>
      <w:r w:rsidR="000C0B3B">
        <w:rPr>
          <w:sz w:val="28"/>
          <w:szCs w:val="28"/>
          <w:lang w:eastAsia="uk-UA"/>
        </w:rPr>
        <w:t>ня</w:t>
      </w:r>
      <w:r w:rsidR="000C0B3B" w:rsidRPr="000C0B3B">
        <w:rPr>
          <w:sz w:val="28"/>
          <w:szCs w:val="28"/>
          <w:lang w:eastAsia="uk-UA"/>
        </w:rPr>
        <w:t xml:space="preserve"> положен</w:t>
      </w:r>
      <w:r w:rsidR="000C0B3B">
        <w:rPr>
          <w:sz w:val="28"/>
          <w:szCs w:val="28"/>
          <w:lang w:eastAsia="uk-UA"/>
        </w:rPr>
        <w:t>ь</w:t>
      </w:r>
      <w:r w:rsidR="000C0B3B" w:rsidRPr="000C0B3B">
        <w:rPr>
          <w:sz w:val="28"/>
          <w:szCs w:val="28"/>
          <w:lang w:eastAsia="uk-UA"/>
        </w:rPr>
        <w:t xml:space="preserve"> Закону України «Про державне регулювання діяльності щодо організації та проведення азартних ігор»</w:t>
      </w:r>
      <w:r w:rsidR="00E70434">
        <w:rPr>
          <w:sz w:val="28"/>
          <w:szCs w:val="28"/>
          <w:lang w:eastAsia="uk-UA"/>
        </w:rPr>
        <w:t xml:space="preserve"> (далі </w:t>
      </w:r>
      <w:r w:rsidR="00E70434" w:rsidRPr="00A8266D">
        <w:rPr>
          <w:rFonts w:eastAsia="Times New Roman"/>
          <w:bCs/>
          <w:sz w:val="28"/>
          <w:szCs w:val="28"/>
        </w:rPr>
        <w:t>–</w:t>
      </w:r>
      <w:r w:rsidR="00E70434">
        <w:rPr>
          <w:sz w:val="28"/>
          <w:szCs w:val="28"/>
          <w:lang w:eastAsia="uk-UA"/>
        </w:rPr>
        <w:t xml:space="preserve"> Закон про азартні ігри)</w:t>
      </w:r>
      <w:r w:rsidR="000C0B3B" w:rsidRPr="000C0B3B">
        <w:rPr>
          <w:sz w:val="28"/>
          <w:szCs w:val="28"/>
          <w:lang w:eastAsia="uk-UA"/>
        </w:rPr>
        <w:t xml:space="preserve"> у частині захисту прав гравців</w:t>
      </w:r>
      <w:bookmarkEnd w:id="1"/>
      <w:r w:rsidR="009B08A6" w:rsidRPr="00C013A7">
        <w:rPr>
          <w:rStyle w:val="rvts23"/>
          <w:rFonts w:eastAsia="NSimSun"/>
          <w:sz w:val="28"/>
          <w:szCs w:val="28"/>
        </w:rPr>
        <w:t>.</w:t>
      </w:r>
    </w:p>
    <w:p w14:paraId="67E6F51F" w14:textId="77777777" w:rsidR="00335710" w:rsidRPr="009B56F3" w:rsidRDefault="00335710" w:rsidP="00C74D44">
      <w:pPr>
        <w:suppressAutoHyphens/>
        <w:ind w:firstLine="567"/>
        <w:jc w:val="both"/>
        <w:rPr>
          <w:b/>
          <w:bCs/>
          <w:sz w:val="22"/>
          <w:szCs w:val="22"/>
          <w:lang w:eastAsia="uk-UA"/>
        </w:rPr>
      </w:pPr>
      <w:bookmarkStart w:id="2" w:name="n1977"/>
      <w:bookmarkStart w:id="3" w:name="n1978"/>
      <w:bookmarkEnd w:id="2"/>
      <w:bookmarkEnd w:id="3"/>
    </w:p>
    <w:p w14:paraId="225687BF" w14:textId="77777777" w:rsidR="00335710" w:rsidRPr="00C013A7" w:rsidRDefault="00741837" w:rsidP="00C74D44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C013A7">
        <w:rPr>
          <w:rFonts w:eastAsia="Times New Roman"/>
          <w:b/>
          <w:bCs/>
          <w:sz w:val="28"/>
          <w:szCs w:val="28"/>
          <w:lang w:eastAsia="uk-UA"/>
        </w:rPr>
        <w:t xml:space="preserve">2. Обґрунтування необхідності прийняття </w:t>
      </w:r>
      <w:proofErr w:type="spellStart"/>
      <w:r w:rsidRPr="00C013A7">
        <w:rPr>
          <w:rFonts w:eastAsia="Times New Roman"/>
          <w:b/>
          <w:bCs/>
          <w:sz w:val="28"/>
          <w:szCs w:val="28"/>
          <w:lang w:eastAsia="uk-UA"/>
        </w:rPr>
        <w:t>акта</w:t>
      </w:r>
      <w:proofErr w:type="spellEnd"/>
    </w:p>
    <w:p w14:paraId="56B9E13E" w14:textId="18F8CDFF" w:rsidR="00A8266D" w:rsidRPr="00A8266D" w:rsidRDefault="00A8266D" w:rsidP="0045568F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bCs/>
          <w:sz w:val="28"/>
          <w:szCs w:val="28"/>
        </w:rPr>
      </w:pPr>
      <w:r w:rsidRPr="00A8266D">
        <w:rPr>
          <w:rFonts w:eastAsia="Times New Roman"/>
          <w:bCs/>
          <w:sz w:val="28"/>
          <w:szCs w:val="28"/>
        </w:rPr>
        <w:t>10 червня 2023 року</w:t>
      </w:r>
      <w:r w:rsidR="0045568F">
        <w:rPr>
          <w:rFonts w:eastAsia="Times New Roman"/>
          <w:bCs/>
          <w:sz w:val="28"/>
          <w:szCs w:val="28"/>
        </w:rPr>
        <w:t xml:space="preserve"> прийнято Закон України</w:t>
      </w:r>
      <w:r w:rsidRPr="00A8266D">
        <w:rPr>
          <w:rFonts w:eastAsia="Times New Roman"/>
          <w:bCs/>
          <w:sz w:val="28"/>
          <w:szCs w:val="28"/>
        </w:rPr>
        <w:t xml:space="preserve"> № 3153-ІХ «Про захист прав споживачів» (далі – Закон)</w:t>
      </w:r>
      <w:r w:rsidR="0045568F">
        <w:rPr>
          <w:rFonts w:eastAsia="Times New Roman"/>
          <w:bCs/>
          <w:sz w:val="28"/>
          <w:szCs w:val="28"/>
        </w:rPr>
        <w:t xml:space="preserve">, який </w:t>
      </w:r>
      <w:r w:rsidRPr="00A8266D">
        <w:rPr>
          <w:rFonts w:eastAsia="Times New Roman"/>
          <w:bCs/>
          <w:sz w:val="28"/>
          <w:szCs w:val="28"/>
        </w:rPr>
        <w:t>було прийнято з метою наближення національного законодавства про захист прав споживачів до законодавства Європейського Союзу та гармонізації системи захисту прав споживачів в Україні з принципами, підходами та практиками ЄС. Згідно з абзацом першим пункту 1 розділу ІХ Закону, він набирає чинності через один рік з дня його опублікування, але не раніше дня припинення чи скасування воєнного стану, введеного Указом Президента України від 24 лютого 2022 року № 64/2022 «Про введення воєнного стану в Україні», затвердженим Законом України від 24 лютого 2022 року № 2102-IX.</w:t>
      </w:r>
    </w:p>
    <w:p w14:paraId="3402EF86" w14:textId="77777777" w:rsidR="00A8266D" w:rsidRPr="00A8266D" w:rsidRDefault="00A8266D" w:rsidP="00A8266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bCs/>
          <w:sz w:val="28"/>
          <w:szCs w:val="28"/>
        </w:rPr>
      </w:pPr>
      <w:r w:rsidRPr="00A8266D">
        <w:rPr>
          <w:rFonts w:eastAsia="Times New Roman"/>
          <w:bCs/>
          <w:sz w:val="28"/>
          <w:szCs w:val="28"/>
        </w:rPr>
        <w:t>Положення Закону регулюють відносини між споживачами товарів, робіт і послуг та суб’єктами господарювання незалежно від форми власності, які виробляють, продають товари чи харчові продукти, виконують роботи чи надають послуги, встановлюють права споживачів, а також визначають механізми їх захисту та основи реалізації державної політики у сфері захисту прав споживачів.</w:t>
      </w:r>
    </w:p>
    <w:p w14:paraId="6FABC603" w14:textId="77777777" w:rsidR="00A8266D" w:rsidRPr="00A8266D" w:rsidRDefault="00A8266D" w:rsidP="00A8266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bCs/>
          <w:sz w:val="28"/>
          <w:szCs w:val="28"/>
        </w:rPr>
      </w:pPr>
      <w:r w:rsidRPr="00A8266D">
        <w:rPr>
          <w:rFonts w:eastAsia="Times New Roman"/>
          <w:bCs/>
          <w:sz w:val="28"/>
          <w:szCs w:val="28"/>
        </w:rPr>
        <w:t>Відповідно до частини четвертої статті 2 Закону, його дія не поширюється на відносини щодо  правочину, який стосується грального бізнесу, у тому числі парі, тоталізаторів та інших азартних ігор, або проведення лотерей.</w:t>
      </w:r>
    </w:p>
    <w:p w14:paraId="1712713D" w14:textId="5E922A96" w:rsidR="006A38C7" w:rsidRDefault="0045568F" w:rsidP="00A8266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Так,</w:t>
      </w:r>
      <w:r w:rsidR="00A8266D" w:rsidRPr="00A8266D">
        <w:rPr>
          <w:rFonts w:eastAsia="Times New Roman"/>
          <w:bCs/>
          <w:sz w:val="28"/>
          <w:szCs w:val="28"/>
        </w:rPr>
        <w:t xml:space="preserve"> з метою забезпечення захисту прав</w:t>
      </w:r>
      <w:r>
        <w:rPr>
          <w:rFonts w:eastAsia="Times New Roman"/>
          <w:bCs/>
          <w:sz w:val="28"/>
          <w:szCs w:val="28"/>
        </w:rPr>
        <w:t xml:space="preserve"> гравців КРАІЛ розроблено </w:t>
      </w:r>
      <w:proofErr w:type="spellStart"/>
      <w:r>
        <w:rPr>
          <w:rFonts w:eastAsia="Times New Roman"/>
          <w:bCs/>
          <w:sz w:val="28"/>
          <w:szCs w:val="28"/>
        </w:rPr>
        <w:t>проєкт</w:t>
      </w:r>
      <w:proofErr w:type="spellEnd"/>
      <w:r>
        <w:rPr>
          <w:rFonts w:eastAsia="Times New Roman"/>
          <w:bCs/>
          <w:sz w:val="28"/>
          <w:szCs w:val="28"/>
        </w:rPr>
        <w:t xml:space="preserve"> Закону.</w:t>
      </w:r>
    </w:p>
    <w:p w14:paraId="491DEA54" w14:textId="77777777" w:rsidR="007C1A8B" w:rsidRPr="009B56F3" w:rsidRDefault="007C1A8B" w:rsidP="00A8266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Style w:val="rvts9"/>
          <w:rFonts w:eastAsia="NSimSun"/>
          <w:kern w:val="2"/>
          <w:sz w:val="20"/>
          <w:szCs w:val="20"/>
          <w:highlight w:val="white"/>
          <w:shd w:val="clear" w:color="auto" w:fill="FFFFFF"/>
          <w:lang w:eastAsia="zh-CN" w:bidi="hi-IN"/>
        </w:rPr>
      </w:pPr>
    </w:p>
    <w:p w14:paraId="02707311" w14:textId="77777777" w:rsidR="00335710" w:rsidRPr="00C013A7" w:rsidRDefault="00741837" w:rsidP="00C74D44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C013A7">
        <w:rPr>
          <w:rFonts w:eastAsia="Times New Roman"/>
          <w:b/>
          <w:bCs/>
          <w:sz w:val="28"/>
          <w:szCs w:val="28"/>
          <w:lang w:eastAsia="uk-UA"/>
        </w:rPr>
        <w:t xml:space="preserve">3. Основні положення </w:t>
      </w:r>
      <w:proofErr w:type="spellStart"/>
      <w:r w:rsidRPr="00C013A7">
        <w:rPr>
          <w:rFonts w:eastAsia="Times New Roman"/>
          <w:b/>
          <w:bCs/>
          <w:sz w:val="28"/>
          <w:szCs w:val="28"/>
          <w:lang w:eastAsia="uk-UA"/>
        </w:rPr>
        <w:t>проєкту</w:t>
      </w:r>
      <w:proofErr w:type="spellEnd"/>
      <w:r w:rsidRPr="00C013A7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013A7">
        <w:rPr>
          <w:rFonts w:eastAsia="Times New Roman"/>
          <w:b/>
          <w:bCs/>
          <w:sz w:val="28"/>
          <w:szCs w:val="28"/>
          <w:lang w:eastAsia="uk-UA"/>
        </w:rPr>
        <w:t>акта</w:t>
      </w:r>
      <w:proofErr w:type="spellEnd"/>
    </w:p>
    <w:p w14:paraId="1C22CF55" w14:textId="6319C8DB" w:rsidR="002059B2" w:rsidRDefault="002059B2" w:rsidP="00C74D44">
      <w:pPr>
        <w:pStyle w:val="ae"/>
        <w:suppressAutoHyphens/>
        <w:ind w:left="0" w:firstLine="567"/>
        <w:jc w:val="both"/>
        <w:rPr>
          <w:sz w:val="28"/>
          <w:szCs w:val="28"/>
          <w:lang w:eastAsia="ru-RU"/>
        </w:rPr>
      </w:pPr>
      <w:bookmarkStart w:id="4" w:name="n1981"/>
      <w:bookmarkEnd w:id="4"/>
      <w:proofErr w:type="spellStart"/>
      <w:r w:rsidRPr="00C013A7">
        <w:rPr>
          <w:sz w:val="28"/>
          <w:szCs w:val="28"/>
          <w:lang w:eastAsia="ru-RU"/>
        </w:rPr>
        <w:t>Про</w:t>
      </w:r>
      <w:r w:rsidR="00B765EE" w:rsidRPr="00C013A7">
        <w:rPr>
          <w:sz w:val="28"/>
          <w:szCs w:val="28"/>
          <w:lang w:eastAsia="ru-RU"/>
        </w:rPr>
        <w:t>є</w:t>
      </w:r>
      <w:r w:rsidRPr="00C013A7">
        <w:rPr>
          <w:sz w:val="28"/>
          <w:szCs w:val="28"/>
          <w:lang w:eastAsia="ru-RU"/>
        </w:rPr>
        <w:t>ктом</w:t>
      </w:r>
      <w:proofErr w:type="spellEnd"/>
      <w:r w:rsidRPr="00C013A7">
        <w:rPr>
          <w:sz w:val="28"/>
          <w:szCs w:val="28"/>
          <w:lang w:eastAsia="ru-RU"/>
        </w:rPr>
        <w:t xml:space="preserve"> Закону пропонується</w:t>
      </w:r>
      <w:r w:rsidR="00BC4234" w:rsidRPr="00C013A7">
        <w:rPr>
          <w:sz w:val="28"/>
          <w:szCs w:val="28"/>
          <w:lang w:eastAsia="ru-RU"/>
        </w:rPr>
        <w:t xml:space="preserve"> </w:t>
      </w:r>
      <w:proofErr w:type="spellStart"/>
      <w:r w:rsidR="00BC4234" w:rsidRPr="00C013A7">
        <w:rPr>
          <w:sz w:val="28"/>
          <w:szCs w:val="28"/>
          <w:lang w:eastAsia="ru-RU"/>
        </w:rPr>
        <w:t>внести</w:t>
      </w:r>
      <w:proofErr w:type="spellEnd"/>
      <w:r w:rsidR="00BC4234" w:rsidRPr="00C013A7">
        <w:rPr>
          <w:sz w:val="28"/>
          <w:szCs w:val="28"/>
          <w:lang w:eastAsia="ru-RU"/>
        </w:rPr>
        <w:t xml:space="preserve"> зміни до </w:t>
      </w:r>
      <w:r w:rsidR="0045568F" w:rsidRPr="0045568F">
        <w:rPr>
          <w:bCs/>
          <w:sz w:val="28"/>
          <w:szCs w:val="28"/>
          <w:lang w:eastAsia="uk-UA"/>
        </w:rPr>
        <w:t>Закон</w:t>
      </w:r>
      <w:r w:rsidR="0045568F">
        <w:rPr>
          <w:bCs/>
          <w:sz w:val="28"/>
          <w:szCs w:val="28"/>
          <w:lang w:eastAsia="uk-UA"/>
        </w:rPr>
        <w:t>у</w:t>
      </w:r>
      <w:r w:rsidR="0045568F" w:rsidRPr="0045568F">
        <w:rPr>
          <w:bCs/>
          <w:sz w:val="28"/>
          <w:szCs w:val="28"/>
          <w:lang w:eastAsia="uk-UA"/>
        </w:rPr>
        <w:t xml:space="preserve"> про азартні ігри</w:t>
      </w:r>
      <w:r w:rsidR="00DA23F8" w:rsidRPr="00C013A7">
        <w:rPr>
          <w:sz w:val="28"/>
          <w:szCs w:val="28"/>
          <w:lang w:eastAsia="uk-UA"/>
        </w:rPr>
        <w:t xml:space="preserve">, зокрема, </w:t>
      </w:r>
      <w:r w:rsidR="00BC4234" w:rsidRPr="00C013A7">
        <w:rPr>
          <w:sz w:val="28"/>
          <w:szCs w:val="28"/>
          <w:lang w:eastAsia="ru-RU"/>
        </w:rPr>
        <w:t>передбачи</w:t>
      </w:r>
      <w:r w:rsidR="00DA23F8" w:rsidRPr="00C013A7">
        <w:rPr>
          <w:sz w:val="28"/>
          <w:szCs w:val="28"/>
          <w:lang w:eastAsia="ru-RU"/>
        </w:rPr>
        <w:t>вш</w:t>
      </w:r>
      <w:r w:rsidR="00BC4234" w:rsidRPr="00C013A7">
        <w:rPr>
          <w:sz w:val="28"/>
          <w:szCs w:val="28"/>
          <w:lang w:eastAsia="ru-RU"/>
        </w:rPr>
        <w:t>и</w:t>
      </w:r>
      <w:r w:rsidRPr="00C013A7">
        <w:rPr>
          <w:sz w:val="28"/>
          <w:szCs w:val="28"/>
          <w:lang w:eastAsia="ru-RU"/>
        </w:rPr>
        <w:t>:</w:t>
      </w:r>
    </w:p>
    <w:p w14:paraId="19D02F23" w14:textId="27392619" w:rsidR="00AB504D" w:rsidRPr="00C013A7" w:rsidRDefault="00AB504D" w:rsidP="00C74D44">
      <w:pPr>
        <w:pStyle w:val="ae"/>
        <w:suppressAutoHyphens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визначення прав гравців;</w:t>
      </w:r>
    </w:p>
    <w:p w14:paraId="51CB0634" w14:textId="625BBDF0" w:rsidR="00150A34" w:rsidRPr="00282F98" w:rsidRDefault="00421C44" w:rsidP="00C74D44">
      <w:pPr>
        <w:suppressAutoHyphen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визначення </w:t>
      </w:r>
      <w:r w:rsidR="00282F98" w:rsidRPr="00282F98">
        <w:rPr>
          <w:sz w:val="28"/>
          <w:szCs w:val="28"/>
          <w:lang w:eastAsia="ru-RU"/>
        </w:rPr>
        <w:t>термін</w:t>
      </w:r>
      <w:r>
        <w:rPr>
          <w:sz w:val="28"/>
          <w:szCs w:val="28"/>
          <w:lang w:eastAsia="ru-RU"/>
        </w:rPr>
        <w:t>ів</w:t>
      </w:r>
      <w:r w:rsidR="00282F98" w:rsidRPr="00282F98">
        <w:rPr>
          <w:sz w:val="28"/>
          <w:szCs w:val="28"/>
          <w:lang w:eastAsia="ru-RU"/>
        </w:rPr>
        <w:t xml:space="preserve"> «ігрова залежність (</w:t>
      </w:r>
      <w:proofErr w:type="spellStart"/>
      <w:r w:rsidR="00282F98" w:rsidRPr="00282F98">
        <w:rPr>
          <w:sz w:val="28"/>
          <w:szCs w:val="28"/>
          <w:lang w:eastAsia="ru-RU"/>
        </w:rPr>
        <w:t>лудоманія</w:t>
      </w:r>
      <w:proofErr w:type="spellEnd"/>
      <w:r w:rsidR="00415AB2">
        <w:rPr>
          <w:sz w:val="28"/>
          <w:szCs w:val="28"/>
          <w:lang w:eastAsia="ru-RU"/>
        </w:rPr>
        <w:t>)</w:t>
      </w:r>
      <w:r w:rsidR="00282F98" w:rsidRPr="00282F98">
        <w:rPr>
          <w:sz w:val="28"/>
          <w:szCs w:val="28"/>
          <w:lang w:eastAsia="ru-RU"/>
        </w:rPr>
        <w:t>», та «</w:t>
      </w:r>
      <w:r w:rsidR="00282F98" w:rsidRPr="00282F98">
        <w:rPr>
          <w:sz w:val="28"/>
          <w:szCs w:val="28"/>
        </w:rPr>
        <w:t>ігрова сесія</w:t>
      </w:r>
      <w:r w:rsidR="00282F98" w:rsidRPr="00282F98">
        <w:rPr>
          <w:sz w:val="28"/>
          <w:szCs w:val="28"/>
          <w:lang w:eastAsia="ru-RU"/>
        </w:rPr>
        <w:t>»</w:t>
      </w:r>
      <w:r w:rsidR="00282F98">
        <w:rPr>
          <w:sz w:val="28"/>
          <w:szCs w:val="28"/>
          <w:lang w:eastAsia="ru-RU"/>
        </w:rPr>
        <w:t>;</w:t>
      </w:r>
    </w:p>
    <w:p w14:paraId="0A572381" w14:textId="0B943E1F" w:rsidR="000C6F4B" w:rsidRDefault="00421C44" w:rsidP="00282F98">
      <w:pPr>
        <w:suppressAutoHyphen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наділення </w:t>
      </w:r>
      <w:r w:rsidRPr="00282F98">
        <w:rPr>
          <w:sz w:val="28"/>
          <w:szCs w:val="28"/>
          <w:lang w:eastAsia="ru-RU"/>
        </w:rPr>
        <w:t xml:space="preserve">КРАІЛ </w:t>
      </w:r>
      <w:r w:rsidR="00282F98" w:rsidRPr="00282F98">
        <w:rPr>
          <w:sz w:val="28"/>
          <w:szCs w:val="28"/>
          <w:lang w:eastAsia="ru-RU"/>
        </w:rPr>
        <w:t>повноваження</w:t>
      </w:r>
      <w:r w:rsidR="00415AB2">
        <w:rPr>
          <w:sz w:val="28"/>
          <w:szCs w:val="28"/>
          <w:lang w:eastAsia="ru-RU"/>
        </w:rPr>
        <w:t>м</w:t>
      </w:r>
      <w:r w:rsidR="00282F98" w:rsidRPr="00282F98">
        <w:rPr>
          <w:sz w:val="28"/>
          <w:szCs w:val="28"/>
          <w:lang w:eastAsia="ru-RU"/>
        </w:rPr>
        <w:t xml:space="preserve"> встановлювати граничні обмеження (ліміти) щодо максимального часу участі в азартній грі та розміру витрат на </w:t>
      </w:r>
      <w:r w:rsidR="00282F98" w:rsidRPr="00282F98">
        <w:rPr>
          <w:sz w:val="28"/>
          <w:szCs w:val="28"/>
          <w:lang w:eastAsia="ru-RU"/>
        </w:rPr>
        <w:lastRenderedPageBreak/>
        <w:t xml:space="preserve">азартну гру впродовж певного часу (дня, тижня, місяця) </w:t>
      </w:r>
      <w:r w:rsidR="00415AB2">
        <w:rPr>
          <w:sz w:val="28"/>
          <w:szCs w:val="28"/>
          <w:lang w:eastAsia="ru-RU"/>
        </w:rPr>
        <w:t>і</w:t>
      </w:r>
      <w:r w:rsidR="00282F98" w:rsidRPr="00282F98">
        <w:rPr>
          <w:sz w:val="28"/>
          <w:szCs w:val="28"/>
          <w:lang w:eastAsia="ru-RU"/>
        </w:rPr>
        <w:t xml:space="preserve"> визначати критерії ігрової активності гравця, що вказують на ризик розвитку ігрової залежності, для використання організаторами азартних ігор під час розроблення та впровадження політики запобігання (попередження) виникненню ігрової залежності</w:t>
      </w:r>
      <w:r>
        <w:rPr>
          <w:sz w:val="28"/>
          <w:szCs w:val="28"/>
          <w:lang w:eastAsia="ru-RU"/>
        </w:rPr>
        <w:t>;</w:t>
      </w:r>
    </w:p>
    <w:p w14:paraId="78FE365F" w14:textId="3ABA7FAE" w:rsidR="00421C44" w:rsidRDefault="00421C44" w:rsidP="00AB504D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421C44">
        <w:rPr>
          <w:sz w:val="28"/>
          <w:szCs w:val="28"/>
          <w:lang w:eastAsia="ru-RU"/>
        </w:rPr>
        <w:t xml:space="preserve">встановлення </w:t>
      </w:r>
      <w:r w:rsidR="00DE40B0">
        <w:rPr>
          <w:sz w:val="28"/>
          <w:szCs w:val="28"/>
          <w:lang w:eastAsia="ru-RU"/>
        </w:rPr>
        <w:t>в</w:t>
      </w:r>
      <w:r w:rsidRPr="00421C44">
        <w:rPr>
          <w:sz w:val="28"/>
          <w:szCs w:val="28"/>
          <w:lang w:eastAsia="ru-RU"/>
        </w:rPr>
        <w:t>имог до правил проведення азартних ігор</w:t>
      </w:r>
      <w:r w:rsidR="00AB504D">
        <w:rPr>
          <w:sz w:val="28"/>
          <w:szCs w:val="28"/>
          <w:lang w:eastAsia="ru-RU"/>
        </w:rPr>
        <w:t>,</w:t>
      </w:r>
      <w:r w:rsidRPr="00421C44">
        <w:rPr>
          <w:sz w:val="28"/>
          <w:szCs w:val="28"/>
          <w:lang w:eastAsia="ru-RU"/>
        </w:rPr>
        <w:t xml:space="preserve"> правил проведення відповідної азартної гри</w:t>
      </w:r>
      <w:r w:rsidR="00DE40B0">
        <w:rPr>
          <w:sz w:val="28"/>
          <w:szCs w:val="28"/>
          <w:lang w:eastAsia="ru-RU"/>
        </w:rPr>
        <w:t xml:space="preserve"> та </w:t>
      </w:r>
      <w:r w:rsidR="00DE40B0" w:rsidRPr="00DE40B0">
        <w:rPr>
          <w:sz w:val="28"/>
          <w:szCs w:val="28"/>
        </w:rPr>
        <w:t>договору про участь в азартних іграх</w:t>
      </w:r>
      <w:r w:rsidR="00AB504D">
        <w:rPr>
          <w:sz w:val="28"/>
          <w:szCs w:val="28"/>
          <w:lang w:eastAsia="ru-RU"/>
        </w:rPr>
        <w:t>.</w:t>
      </w:r>
    </w:p>
    <w:p w14:paraId="3563180E" w14:textId="511FF331" w:rsidR="00282F98" w:rsidRDefault="00711F79" w:rsidP="00282F98">
      <w:pPr>
        <w:suppressAutoHyphen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Крім того,</w:t>
      </w:r>
      <w:r w:rsidR="00282F98">
        <w:rPr>
          <w:sz w:val="28"/>
          <w:szCs w:val="28"/>
          <w:lang w:eastAsia="ru-RU"/>
        </w:rPr>
        <w:t xml:space="preserve"> </w:t>
      </w:r>
      <w:proofErr w:type="spellStart"/>
      <w:r w:rsidR="00282F98">
        <w:rPr>
          <w:sz w:val="28"/>
          <w:szCs w:val="28"/>
          <w:lang w:eastAsia="ru-RU"/>
        </w:rPr>
        <w:t>проєкт</w:t>
      </w:r>
      <w:r>
        <w:rPr>
          <w:sz w:val="28"/>
          <w:szCs w:val="28"/>
          <w:lang w:eastAsia="ru-RU"/>
        </w:rPr>
        <w:t>ом</w:t>
      </w:r>
      <w:proofErr w:type="spellEnd"/>
      <w:r w:rsidR="00282F98">
        <w:rPr>
          <w:sz w:val="28"/>
          <w:szCs w:val="28"/>
          <w:lang w:eastAsia="ru-RU"/>
        </w:rPr>
        <w:t xml:space="preserve"> Закону з метою захисту прав гравців </w:t>
      </w:r>
      <w:r>
        <w:rPr>
          <w:sz w:val="28"/>
          <w:szCs w:val="28"/>
          <w:lang w:eastAsia="ru-RU"/>
        </w:rPr>
        <w:t>доповнено обов’язки організатора азартних ігор, а саме:</w:t>
      </w:r>
    </w:p>
    <w:p w14:paraId="1842C38C" w14:textId="77777777" w:rsidR="00711F79" w:rsidRP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>гарантувати право гравця припинити гру в будь-який момент;</w:t>
      </w:r>
    </w:p>
    <w:p w14:paraId="54548269" w14:textId="6A4BF722" w:rsidR="00711F79" w:rsidRP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>на вимогу гравця невідкладно, але не пізніше наступного дня з дня отримання відповідної заяви здійснювати блокування клієнтського рахунку гравця;</w:t>
      </w:r>
    </w:p>
    <w:p w14:paraId="491BEAF5" w14:textId="7F54BB93" w:rsidR="00711F79" w:rsidRP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>здійснювати моніторинг (у тому числі за допомогою відповідного програмного забезпечення) дій гравців та комунікацію з ними з метою запобігання (попередження) виникненню ігрової залежності, а саме:</w:t>
      </w:r>
    </w:p>
    <w:p w14:paraId="4F1199A9" w14:textId="77777777" w:rsidR="00711F79" w:rsidRP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 xml:space="preserve">пропонувати гравцям встановити особисті обмеження (ліміти) щодо максимального часу участі у грі та розміру витрат на азартну гру впродовж певного часу (дня, тижня, місяця), а у разі їх </w:t>
      </w:r>
      <w:proofErr w:type="spellStart"/>
      <w:r w:rsidRPr="00711F79">
        <w:rPr>
          <w:sz w:val="28"/>
          <w:szCs w:val="28"/>
          <w:lang w:eastAsia="ru-RU"/>
        </w:rPr>
        <w:t>невстановлення</w:t>
      </w:r>
      <w:proofErr w:type="spellEnd"/>
      <w:r w:rsidRPr="00711F79">
        <w:rPr>
          <w:sz w:val="28"/>
          <w:szCs w:val="28"/>
          <w:lang w:eastAsia="ru-RU"/>
        </w:rPr>
        <w:t xml:space="preserve"> гравцем – застосувати граничні ліміти, встановлені Уповноваженим органом;</w:t>
      </w:r>
    </w:p>
    <w:p w14:paraId="7140CE5F" w14:textId="52300FC0" w:rsidR="00711F79" w:rsidRP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>пропонувати гравцям робити перерви у грі, а в разі, якщо їхня поведінка вказує на ризик розвитку ігрової залежності, блокувати клієнтські рахунки гравця у випадках, встановлених частиною п’ятою статті 16 Закону</w:t>
      </w:r>
      <w:r>
        <w:rPr>
          <w:sz w:val="28"/>
          <w:szCs w:val="28"/>
          <w:lang w:eastAsia="ru-RU"/>
        </w:rPr>
        <w:t xml:space="preserve"> про азартні ігри</w:t>
      </w:r>
      <w:r w:rsidRPr="00711F79">
        <w:rPr>
          <w:sz w:val="28"/>
          <w:szCs w:val="28"/>
          <w:lang w:eastAsia="ru-RU"/>
        </w:rPr>
        <w:t>;</w:t>
      </w:r>
    </w:p>
    <w:p w14:paraId="5E39F484" w14:textId="70ACE9A4" w:rsidR="00711F79" w:rsidRP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>використовувати персоналізовані повідомлення гравців про необхідність зменшення часу участі у грі та розміру витрат на азартну гру, необхідності проходження анкетування (тестування) на наявність ігрової залежності (</w:t>
      </w:r>
      <w:proofErr w:type="spellStart"/>
      <w:r w:rsidRPr="00711F79">
        <w:rPr>
          <w:sz w:val="28"/>
          <w:szCs w:val="28"/>
          <w:lang w:eastAsia="ru-RU"/>
        </w:rPr>
        <w:t>лудоманії</w:t>
      </w:r>
      <w:proofErr w:type="spellEnd"/>
      <w:r w:rsidRPr="00711F79">
        <w:rPr>
          <w:sz w:val="28"/>
          <w:szCs w:val="28"/>
          <w:lang w:eastAsia="ru-RU"/>
        </w:rPr>
        <w:t>);</w:t>
      </w:r>
    </w:p>
    <w:p w14:paraId="36C92083" w14:textId="51C18706" w:rsidR="00711F79" w:rsidRDefault="00711F79" w:rsidP="00711F79">
      <w:pPr>
        <w:suppressAutoHyphens/>
        <w:ind w:firstLine="567"/>
        <w:jc w:val="both"/>
        <w:rPr>
          <w:sz w:val="28"/>
          <w:szCs w:val="28"/>
          <w:lang w:eastAsia="ru-RU"/>
        </w:rPr>
      </w:pPr>
      <w:r w:rsidRPr="00711F79">
        <w:rPr>
          <w:sz w:val="28"/>
          <w:szCs w:val="28"/>
          <w:lang w:eastAsia="ru-RU"/>
        </w:rPr>
        <w:t>проводити періодичні дослідження (опитування, анкетування, тестування) серед гравців з метою виявлення ризиків у свої</w:t>
      </w:r>
      <w:r w:rsidR="00415AB2">
        <w:rPr>
          <w:sz w:val="28"/>
          <w:szCs w:val="28"/>
          <w:lang w:eastAsia="ru-RU"/>
        </w:rPr>
        <w:t>х</w:t>
      </w:r>
      <w:r w:rsidRPr="00711F79">
        <w:rPr>
          <w:sz w:val="28"/>
          <w:szCs w:val="28"/>
          <w:lang w:eastAsia="ru-RU"/>
        </w:rPr>
        <w:t xml:space="preserve"> ігрових процесах та їх виправлення</w:t>
      </w:r>
      <w:r>
        <w:rPr>
          <w:sz w:val="28"/>
          <w:szCs w:val="28"/>
          <w:lang w:eastAsia="ru-RU"/>
        </w:rPr>
        <w:t>.</w:t>
      </w:r>
    </w:p>
    <w:p w14:paraId="4DDDC2BD" w14:textId="77777777" w:rsidR="007C1A8B" w:rsidRPr="00762783" w:rsidRDefault="007C1A8B" w:rsidP="00711F79">
      <w:pPr>
        <w:suppressAutoHyphens/>
        <w:ind w:firstLine="567"/>
        <w:jc w:val="both"/>
        <w:rPr>
          <w:lang w:eastAsia="ru-RU"/>
        </w:rPr>
      </w:pPr>
    </w:p>
    <w:p w14:paraId="4A2DBBBF" w14:textId="77777777" w:rsidR="00335710" w:rsidRPr="00C013A7" w:rsidRDefault="00741837" w:rsidP="00C74D44">
      <w:pPr>
        <w:pStyle w:val="HTML"/>
        <w:suppressAutoHyphens/>
        <w:spacing w:after="0" w:line="20" w:lineRule="atLeast"/>
        <w:ind w:firstLine="567"/>
        <w:rPr>
          <w:rFonts w:ascii="Times New Roman" w:hAnsi="Times New Roman"/>
          <w:sz w:val="28"/>
          <w:szCs w:val="28"/>
        </w:rPr>
      </w:pPr>
      <w:r w:rsidRPr="00C013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16B4F660" w:rsidR="000C6F4B" w:rsidRPr="00C013A7" w:rsidRDefault="000C6F4B" w:rsidP="00C74D44">
      <w:pPr>
        <w:pStyle w:val="ae"/>
        <w:suppressAutoHyphen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C013A7">
        <w:rPr>
          <w:rFonts w:eastAsia="Times New Roman"/>
          <w:sz w:val="28"/>
          <w:szCs w:val="28"/>
          <w:lang w:eastAsia="ru-RU"/>
        </w:rPr>
        <w:t xml:space="preserve">У </w:t>
      </w:r>
      <w:r w:rsidR="001732C0">
        <w:rPr>
          <w:rFonts w:eastAsia="Times New Roman"/>
          <w:sz w:val="28"/>
          <w:szCs w:val="28"/>
          <w:lang w:eastAsia="ru-RU"/>
        </w:rPr>
        <w:t>ц</w:t>
      </w:r>
      <w:r w:rsidRPr="00C013A7">
        <w:rPr>
          <w:rFonts w:eastAsia="Times New Roman"/>
          <w:sz w:val="28"/>
          <w:szCs w:val="28"/>
          <w:lang w:eastAsia="ru-RU"/>
        </w:rPr>
        <w:t>ій сфері суспільних відносин діють такі нормативно-правові акти:</w:t>
      </w:r>
    </w:p>
    <w:p w14:paraId="42DFC491" w14:textId="2BC7E81A" w:rsidR="000C6F4B" w:rsidRPr="00C013A7" w:rsidRDefault="000F12D7" w:rsidP="00C74D44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C013A7">
        <w:rPr>
          <w:sz w:val="28"/>
          <w:szCs w:val="28"/>
          <w:lang w:eastAsia="uk-UA"/>
        </w:rPr>
        <w:t xml:space="preserve">Закон України </w:t>
      </w:r>
      <w:r w:rsidR="000C6F4B" w:rsidRPr="00C013A7">
        <w:rPr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ігор»;</w:t>
      </w:r>
    </w:p>
    <w:p w14:paraId="02A7D5D2" w14:textId="54A01348" w:rsidR="00090461" w:rsidRPr="00C013A7" w:rsidRDefault="00090461" w:rsidP="00090461">
      <w:pPr>
        <w:pStyle w:val="ae"/>
        <w:suppressAutoHyphens/>
        <w:ind w:left="0" w:firstLine="567"/>
        <w:jc w:val="both"/>
        <w:rPr>
          <w:sz w:val="28"/>
          <w:szCs w:val="28"/>
          <w:lang w:eastAsia="ru-RU"/>
        </w:rPr>
      </w:pPr>
      <w:r w:rsidRPr="00090461">
        <w:rPr>
          <w:sz w:val="28"/>
          <w:szCs w:val="28"/>
          <w:lang w:eastAsia="ru-RU"/>
        </w:rPr>
        <w:t xml:space="preserve">Закон України «Про захист </w:t>
      </w:r>
      <w:r w:rsidR="00A8266D">
        <w:rPr>
          <w:sz w:val="28"/>
          <w:szCs w:val="28"/>
          <w:lang w:eastAsia="ru-RU"/>
        </w:rPr>
        <w:t>прав споживачів</w:t>
      </w:r>
      <w:r w:rsidRPr="0009046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14:paraId="12BC1DB5" w14:textId="4506E9F9" w:rsidR="0027134E" w:rsidRPr="00C013A7" w:rsidRDefault="00196B75" w:rsidP="00C74D44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196B75">
        <w:rPr>
          <w:sz w:val="28"/>
          <w:szCs w:val="28"/>
          <w:lang w:eastAsia="uk-UA"/>
        </w:rPr>
        <w:t xml:space="preserve">Рішення Ради національної безпеки і оборони України від 20 квітня </w:t>
      </w:r>
      <w:r>
        <w:rPr>
          <w:sz w:val="28"/>
          <w:szCs w:val="28"/>
          <w:lang w:eastAsia="uk-UA"/>
        </w:rPr>
        <w:t xml:space="preserve">              </w:t>
      </w:r>
      <w:r w:rsidRPr="00196B75">
        <w:rPr>
          <w:sz w:val="28"/>
          <w:szCs w:val="28"/>
          <w:lang w:eastAsia="uk-UA"/>
        </w:rPr>
        <w:t>2024 р</w:t>
      </w:r>
      <w:r>
        <w:rPr>
          <w:sz w:val="28"/>
          <w:szCs w:val="28"/>
          <w:lang w:eastAsia="uk-UA"/>
        </w:rPr>
        <w:t>оку</w:t>
      </w:r>
      <w:r w:rsidRPr="00196B7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«</w:t>
      </w:r>
      <w:r w:rsidRPr="00196B75">
        <w:rPr>
          <w:sz w:val="28"/>
          <w:szCs w:val="28"/>
          <w:lang w:eastAsia="uk-UA"/>
        </w:rPr>
        <w:t>Щодо протидії негативним наслідкам функціонування азартних ігор в мережі Інтернет</w:t>
      </w:r>
      <w:r>
        <w:rPr>
          <w:sz w:val="28"/>
          <w:szCs w:val="28"/>
          <w:lang w:eastAsia="uk-UA"/>
        </w:rPr>
        <w:t>»</w:t>
      </w:r>
      <w:r w:rsidRPr="00196B75">
        <w:rPr>
          <w:sz w:val="28"/>
          <w:szCs w:val="28"/>
          <w:lang w:eastAsia="uk-UA"/>
        </w:rPr>
        <w:t>, уведен</w:t>
      </w:r>
      <w:r>
        <w:rPr>
          <w:sz w:val="28"/>
          <w:szCs w:val="28"/>
          <w:lang w:eastAsia="uk-UA"/>
        </w:rPr>
        <w:t>е</w:t>
      </w:r>
      <w:r w:rsidRPr="00196B75">
        <w:rPr>
          <w:sz w:val="28"/>
          <w:szCs w:val="28"/>
          <w:lang w:eastAsia="uk-UA"/>
        </w:rPr>
        <w:t xml:space="preserve"> в дію Указом Президента України від 20 квітня 2024 р</w:t>
      </w:r>
      <w:r>
        <w:rPr>
          <w:sz w:val="28"/>
          <w:szCs w:val="28"/>
          <w:lang w:eastAsia="uk-UA"/>
        </w:rPr>
        <w:t>оку</w:t>
      </w:r>
      <w:r w:rsidRPr="00196B75">
        <w:rPr>
          <w:sz w:val="28"/>
          <w:szCs w:val="28"/>
          <w:lang w:eastAsia="uk-UA"/>
        </w:rPr>
        <w:t xml:space="preserve"> № 234</w:t>
      </w:r>
      <w:r w:rsidR="0071420B" w:rsidRPr="00C013A7">
        <w:rPr>
          <w:sz w:val="28"/>
          <w:szCs w:val="28"/>
          <w:lang w:eastAsia="uk-UA"/>
        </w:rPr>
        <w:t>;</w:t>
      </w:r>
      <w:r w:rsidR="0027134E" w:rsidRPr="00C013A7">
        <w:rPr>
          <w:sz w:val="28"/>
          <w:szCs w:val="28"/>
          <w:lang w:eastAsia="uk-UA"/>
        </w:rPr>
        <w:t xml:space="preserve"> </w:t>
      </w:r>
    </w:p>
    <w:p w14:paraId="66B02E28" w14:textId="55CC63A6" w:rsidR="003D3CC5" w:rsidRPr="00C013A7" w:rsidRDefault="0071420B" w:rsidP="00C74D44">
      <w:pPr>
        <w:pStyle w:val="ae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C013A7">
        <w:rPr>
          <w:sz w:val="28"/>
          <w:szCs w:val="28"/>
          <w:lang w:eastAsia="uk-UA"/>
        </w:rPr>
        <w:lastRenderedPageBreak/>
        <w:t>Положення про Комісію з регулювання азартних ігор та лотерей, затверджене постановою Кабінету Міністрів України від 23 вересня 2020 року № 891</w:t>
      </w:r>
      <w:r w:rsidR="000C6F4B" w:rsidRPr="00C013A7">
        <w:rPr>
          <w:sz w:val="28"/>
          <w:szCs w:val="28"/>
          <w:lang w:eastAsia="uk-UA"/>
        </w:rPr>
        <w:t>.</w:t>
      </w:r>
    </w:p>
    <w:p w14:paraId="0FE7AD18" w14:textId="77777777" w:rsidR="00335710" w:rsidRPr="009B56F3" w:rsidRDefault="00335710" w:rsidP="00C74D44">
      <w:pPr>
        <w:suppressAutoHyphens/>
        <w:ind w:firstLine="567"/>
        <w:jc w:val="both"/>
        <w:rPr>
          <w:sz w:val="20"/>
          <w:szCs w:val="20"/>
          <w:lang w:eastAsia="uk-UA"/>
        </w:rPr>
      </w:pPr>
    </w:p>
    <w:p w14:paraId="45E82F29" w14:textId="77777777" w:rsidR="00335710" w:rsidRPr="00C013A7" w:rsidRDefault="00741837" w:rsidP="00C74D44">
      <w:pPr>
        <w:suppressAutoHyphens/>
        <w:ind w:firstLine="567"/>
        <w:jc w:val="both"/>
        <w:rPr>
          <w:sz w:val="28"/>
          <w:szCs w:val="28"/>
        </w:rPr>
      </w:pPr>
      <w:r w:rsidRPr="00C013A7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22CAAE6" w14:textId="5B5E851B" w:rsidR="000E7071" w:rsidRPr="000E7071" w:rsidRDefault="000E7071" w:rsidP="000E7071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0E7071">
        <w:rPr>
          <w:rFonts w:eastAsia="Times New Roman"/>
          <w:sz w:val="28"/>
          <w:szCs w:val="28"/>
        </w:rPr>
        <w:t xml:space="preserve">Прийняття та реалізація </w:t>
      </w:r>
      <w:proofErr w:type="spellStart"/>
      <w:r w:rsidRPr="000E7071">
        <w:rPr>
          <w:rFonts w:eastAsia="Times New Roman"/>
          <w:sz w:val="28"/>
          <w:szCs w:val="28"/>
        </w:rPr>
        <w:t>проєкту</w:t>
      </w:r>
      <w:proofErr w:type="spellEnd"/>
      <w:r w:rsidRPr="000E70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Закону</w:t>
      </w:r>
      <w:r w:rsidRPr="000E7071">
        <w:rPr>
          <w:rFonts w:eastAsia="Times New Roman"/>
          <w:sz w:val="28"/>
          <w:szCs w:val="28"/>
        </w:rPr>
        <w:t xml:space="preserve"> не потребують виділення додаткових коштів із Державного бюджету України та місцевих бюджетів.</w:t>
      </w:r>
    </w:p>
    <w:p w14:paraId="2AB79995" w14:textId="77777777" w:rsidR="0011631E" w:rsidRPr="009B56F3" w:rsidRDefault="0011631E" w:rsidP="00C74D44">
      <w:pPr>
        <w:suppressAutoHyphens/>
        <w:ind w:firstLine="567"/>
        <w:jc w:val="both"/>
        <w:rPr>
          <w:sz w:val="20"/>
          <w:szCs w:val="20"/>
          <w:lang w:eastAsia="uk-UA"/>
        </w:rPr>
      </w:pPr>
    </w:p>
    <w:p w14:paraId="7AA76E55" w14:textId="77777777" w:rsidR="00335710" w:rsidRPr="00C013A7" w:rsidRDefault="00741837" w:rsidP="00C74D44">
      <w:pPr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  <w:r w:rsidRPr="00C013A7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2EF82425" w14:textId="77777777" w:rsidR="004A103D" w:rsidRPr="00C013A7" w:rsidRDefault="004A103D" w:rsidP="004A103D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proofErr w:type="spellStart"/>
      <w:r w:rsidRPr="00C013A7">
        <w:rPr>
          <w:rFonts w:eastAsia="Times New Roman"/>
          <w:sz w:val="28"/>
          <w:szCs w:val="28"/>
          <w:lang w:eastAsia="uk-UA"/>
        </w:rPr>
        <w:t>Проєкт</w:t>
      </w:r>
      <w:proofErr w:type="spellEnd"/>
      <w:r w:rsidRPr="00C013A7">
        <w:rPr>
          <w:rFonts w:eastAsia="Times New Roman"/>
          <w:sz w:val="28"/>
          <w:szCs w:val="28"/>
          <w:lang w:eastAsia="uk-UA"/>
        </w:rPr>
        <w:t xml:space="preserve"> Закону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14:paraId="008F6A00" w14:textId="77777777" w:rsidR="004A103D" w:rsidRPr="00C013A7" w:rsidRDefault="004A103D" w:rsidP="004A103D">
      <w:pPr>
        <w:ind w:firstLine="567"/>
        <w:jc w:val="both"/>
        <w:rPr>
          <w:sz w:val="28"/>
          <w:szCs w:val="28"/>
        </w:rPr>
      </w:pPr>
      <w:proofErr w:type="spellStart"/>
      <w:r w:rsidRPr="00C013A7">
        <w:rPr>
          <w:sz w:val="28"/>
          <w:szCs w:val="28"/>
        </w:rPr>
        <w:t>Проєкт</w:t>
      </w:r>
      <w:proofErr w:type="spellEnd"/>
      <w:r w:rsidRPr="00C013A7">
        <w:rPr>
          <w:sz w:val="28"/>
          <w:szCs w:val="28"/>
        </w:rPr>
        <w:t xml:space="preserve"> Закону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170F7F70" w14:textId="640DA385" w:rsidR="00C74D44" w:rsidRDefault="00993790" w:rsidP="000E7071">
      <w:pPr>
        <w:ind w:firstLine="567"/>
        <w:jc w:val="both"/>
        <w:rPr>
          <w:sz w:val="28"/>
          <w:szCs w:val="28"/>
        </w:rPr>
      </w:pPr>
      <w:proofErr w:type="spellStart"/>
      <w:r w:rsidRPr="00C013A7">
        <w:rPr>
          <w:rFonts w:eastAsia="Times New Roman"/>
          <w:sz w:val="28"/>
          <w:szCs w:val="28"/>
          <w:lang w:eastAsia="uk-UA"/>
        </w:rPr>
        <w:t>Проєкт</w:t>
      </w:r>
      <w:proofErr w:type="spellEnd"/>
      <w:r w:rsidRPr="00C013A7">
        <w:rPr>
          <w:rFonts w:eastAsia="Times New Roman"/>
          <w:sz w:val="28"/>
          <w:szCs w:val="28"/>
          <w:lang w:eastAsia="uk-UA"/>
        </w:rPr>
        <w:t xml:space="preserve"> </w:t>
      </w:r>
      <w:r w:rsidR="00D05611" w:rsidRPr="00C013A7">
        <w:rPr>
          <w:rFonts w:eastAsia="Times New Roman"/>
          <w:sz w:val="28"/>
          <w:szCs w:val="28"/>
          <w:lang w:eastAsia="uk-UA"/>
        </w:rPr>
        <w:t>Закону</w:t>
      </w:r>
      <w:r w:rsidRPr="00C013A7">
        <w:rPr>
          <w:rFonts w:eastAsia="Times New Roman"/>
          <w:sz w:val="28"/>
          <w:szCs w:val="28"/>
          <w:lang w:eastAsia="uk-UA"/>
        </w:rPr>
        <w:t xml:space="preserve"> </w:t>
      </w:r>
      <w:r w:rsidR="00741837" w:rsidRPr="00C013A7">
        <w:rPr>
          <w:sz w:val="28"/>
          <w:szCs w:val="28"/>
        </w:rPr>
        <w:t xml:space="preserve"> </w:t>
      </w:r>
      <w:r w:rsidR="000E7071">
        <w:rPr>
          <w:sz w:val="28"/>
          <w:szCs w:val="28"/>
        </w:rPr>
        <w:t>потребує погодження з Міністерством економіки України, Міністерством цифрової трансформації України, Міністерством фінансів України, Уповноваженим Верховної Ради України з прав людини та Державною регуляторною службою України</w:t>
      </w:r>
      <w:r w:rsidR="004A103D">
        <w:rPr>
          <w:sz w:val="28"/>
          <w:szCs w:val="28"/>
        </w:rPr>
        <w:t>.</w:t>
      </w:r>
    </w:p>
    <w:p w14:paraId="4AB90BBE" w14:textId="77777777" w:rsidR="00335710" w:rsidRPr="009B56F3" w:rsidRDefault="00335710" w:rsidP="00C74D44">
      <w:pPr>
        <w:suppressAutoHyphens/>
        <w:ind w:firstLine="567"/>
        <w:jc w:val="both"/>
        <w:rPr>
          <w:b/>
          <w:bCs/>
          <w:sz w:val="20"/>
          <w:szCs w:val="20"/>
          <w:lang w:eastAsia="uk-UA"/>
        </w:rPr>
      </w:pPr>
      <w:bookmarkStart w:id="5" w:name="n1990"/>
      <w:bookmarkStart w:id="6" w:name="n1992"/>
      <w:bookmarkStart w:id="7" w:name="n1993"/>
      <w:bookmarkStart w:id="8" w:name="n1994"/>
      <w:bookmarkStart w:id="9" w:name="n1997"/>
      <w:bookmarkEnd w:id="5"/>
      <w:bookmarkEnd w:id="6"/>
      <w:bookmarkEnd w:id="7"/>
      <w:bookmarkEnd w:id="8"/>
      <w:bookmarkEnd w:id="9"/>
    </w:p>
    <w:p w14:paraId="4937112F" w14:textId="77777777" w:rsidR="0071420B" w:rsidRPr="00C013A7" w:rsidRDefault="00741837" w:rsidP="00C74D44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C013A7">
        <w:rPr>
          <w:rFonts w:eastAsia="Times New Roman"/>
          <w:b/>
          <w:sz w:val="28"/>
          <w:szCs w:val="28"/>
        </w:rPr>
        <w:t>7. Оцінка відповідності</w:t>
      </w:r>
    </w:p>
    <w:p w14:paraId="7DE0B117" w14:textId="0586EA1D" w:rsidR="00086F76" w:rsidRPr="00086F76" w:rsidRDefault="00086F76" w:rsidP="00086F76">
      <w:pPr>
        <w:pStyle w:val="a6"/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86F76">
        <w:rPr>
          <w:rFonts w:eastAsia="Times New Roman"/>
          <w:sz w:val="28"/>
          <w:szCs w:val="28"/>
        </w:rPr>
        <w:t>Проєкт</w:t>
      </w:r>
      <w:proofErr w:type="spellEnd"/>
      <w:r w:rsidRPr="00086F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Закону</w:t>
      </w:r>
      <w:r w:rsidRPr="00086F76">
        <w:rPr>
          <w:rFonts w:eastAsia="Times New Roman"/>
          <w:sz w:val="28"/>
          <w:szCs w:val="28"/>
        </w:rPr>
        <w:t xml:space="preserve"> охоплю</w:t>
      </w:r>
      <w:r>
        <w:rPr>
          <w:rFonts w:eastAsia="Times New Roman"/>
          <w:sz w:val="28"/>
          <w:szCs w:val="28"/>
        </w:rPr>
        <w:t>є</w:t>
      </w:r>
      <w:r w:rsidRPr="00086F76">
        <w:rPr>
          <w:rFonts w:eastAsia="Times New Roman"/>
          <w:sz w:val="28"/>
          <w:szCs w:val="28"/>
        </w:rPr>
        <w:t xml:space="preserve">ться положеннями </w:t>
      </w:r>
      <w:r w:rsidRPr="00A8266D">
        <w:rPr>
          <w:rFonts w:eastAsia="Times New Roman"/>
          <w:bCs/>
          <w:sz w:val="28"/>
          <w:szCs w:val="28"/>
        </w:rPr>
        <w:t>Рекомендаці</w:t>
      </w:r>
      <w:r>
        <w:rPr>
          <w:rFonts w:eastAsia="Times New Roman"/>
          <w:bCs/>
          <w:sz w:val="28"/>
          <w:szCs w:val="28"/>
        </w:rPr>
        <w:t>й</w:t>
      </w:r>
      <w:r w:rsidRPr="00A8266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Європейської </w:t>
      </w:r>
      <w:r w:rsidRPr="00A8266D">
        <w:rPr>
          <w:rFonts w:eastAsia="Times New Roman"/>
          <w:bCs/>
          <w:sz w:val="28"/>
          <w:szCs w:val="28"/>
        </w:rPr>
        <w:t xml:space="preserve">Комісії від 14 липня 2014 року про принципи захисту споживачів і гравців азартних ігор в Інтернеті та запобігання участі неповнолітніх в азартних іграх в Інтернеті </w:t>
      </w:r>
      <w:r>
        <w:rPr>
          <w:rFonts w:eastAsia="Times New Roman"/>
          <w:bCs/>
          <w:sz w:val="28"/>
          <w:szCs w:val="28"/>
        </w:rPr>
        <w:t>(</w:t>
      </w:r>
      <w:r w:rsidRPr="00A8266D">
        <w:rPr>
          <w:rFonts w:eastAsia="Times New Roman"/>
          <w:bCs/>
          <w:sz w:val="28"/>
          <w:szCs w:val="28"/>
        </w:rPr>
        <w:t>2014/478/ЄС</w:t>
      </w:r>
      <w:r>
        <w:rPr>
          <w:rFonts w:eastAsia="Times New Roman"/>
          <w:bCs/>
          <w:sz w:val="28"/>
          <w:szCs w:val="28"/>
        </w:rPr>
        <w:t>)</w:t>
      </w:r>
      <w:r w:rsidRPr="00086F76">
        <w:rPr>
          <w:rFonts w:eastAsia="Times New Roman"/>
          <w:sz w:val="28"/>
          <w:szCs w:val="28"/>
        </w:rPr>
        <w:t>.</w:t>
      </w:r>
    </w:p>
    <w:p w14:paraId="2FF6BC7D" w14:textId="40A79E21" w:rsidR="00086F76" w:rsidRPr="00086F76" w:rsidRDefault="00086F76" w:rsidP="00086F76">
      <w:pPr>
        <w:pStyle w:val="a6"/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86F76">
        <w:rPr>
          <w:rFonts w:eastAsia="Times New Roman"/>
          <w:sz w:val="28"/>
          <w:szCs w:val="28"/>
        </w:rPr>
        <w:t xml:space="preserve">Крім того, </w:t>
      </w:r>
      <w:proofErr w:type="spellStart"/>
      <w:r w:rsidRPr="00086F76">
        <w:rPr>
          <w:rFonts w:eastAsia="Times New Roman"/>
          <w:sz w:val="28"/>
          <w:szCs w:val="28"/>
        </w:rPr>
        <w:t>проєкт</w:t>
      </w:r>
      <w:proofErr w:type="spellEnd"/>
      <w:r w:rsidRPr="00086F76">
        <w:rPr>
          <w:rFonts w:eastAsia="Times New Roman"/>
          <w:sz w:val="28"/>
          <w:szCs w:val="28"/>
        </w:rPr>
        <w:t xml:space="preserve"> </w:t>
      </w:r>
      <w:r w:rsidR="00711F79">
        <w:rPr>
          <w:rFonts w:eastAsia="Times New Roman"/>
          <w:sz w:val="28"/>
          <w:szCs w:val="28"/>
        </w:rPr>
        <w:t>Закону</w:t>
      </w:r>
      <w:r w:rsidRPr="00086F76">
        <w:rPr>
          <w:rFonts w:eastAsia="Times New Roman"/>
          <w:sz w:val="28"/>
          <w:szCs w:val="28"/>
        </w:rPr>
        <w:t xml:space="preserve"> стосується права людини на повагу до її приватного і сімейного життя, гарантованого Конвенцією про захист осіб у зв’язку з автоматизованою обробкою персональних даних. У </w:t>
      </w:r>
      <w:proofErr w:type="spellStart"/>
      <w:r w:rsidRPr="00086F76">
        <w:rPr>
          <w:rFonts w:eastAsia="Times New Roman"/>
          <w:sz w:val="28"/>
          <w:szCs w:val="28"/>
        </w:rPr>
        <w:t>проєкті</w:t>
      </w:r>
      <w:proofErr w:type="spellEnd"/>
      <w:r w:rsidRPr="00086F76">
        <w:rPr>
          <w:rFonts w:eastAsia="Times New Roman"/>
          <w:sz w:val="28"/>
          <w:szCs w:val="28"/>
        </w:rPr>
        <w:t xml:space="preserve"> рішення враховано положення Конвенції про захист прав людини і основоположних свобод (зокрема, статті 8), протоколів до неї та практики Європейського суду з прав людини.</w:t>
      </w:r>
    </w:p>
    <w:p w14:paraId="27A9C813" w14:textId="66C698D5" w:rsidR="00086F76" w:rsidRPr="00086F76" w:rsidRDefault="00086F76" w:rsidP="00086F76">
      <w:pPr>
        <w:pStyle w:val="a6"/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86F76">
        <w:rPr>
          <w:rFonts w:eastAsia="Times New Roman"/>
          <w:sz w:val="28"/>
          <w:szCs w:val="28"/>
        </w:rPr>
        <w:t xml:space="preserve">У </w:t>
      </w:r>
      <w:proofErr w:type="spellStart"/>
      <w:r w:rsidRPr="00086F76">
        <w:rPr>
          <w:rFonts w:eastAsia="Times New Roman"/>
          <w:sz w:val="28"/>
          <w:szCs w:val="28"/>
        </w:rPr>
        <w:t>проєкті</w:t>
      </w:r>
      <w:proofErr w:type="spellEnd"/>
      <w:r w:rsidRPr="00086F76">
        <w:rPr>
          <w:rFonts w:eastAsia="Times New Roman"/>
          <w:sz w:val="28"/>
          <w:szCs w:val="28"/>
        </w:rPr>
        <w:t xml:space="preserve"> </w:t>
      </w:r>
      <w:r w:rsidR="00711F79">
        <w:rPr>
          <w:rFonts w:eastAsia="Times New Roman"/>
          <w:sz w:val="28"/>
          <w:szCs w:val="28"/>
        </w:rPr>
        <w:t>Закону</w:t>
      </w:r>
      <w:r w:rsidRPr="00086F76">
        <w:rPr>
          <w:rFonts w:eastAsia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086F76">
        <w:rPr>
          <w:rFonts w:eastAsia="Times New Roman"/>
          <w:sz w:val="28"/>
          <w:szCs w:val="28"/>
        </w:rPr>
        <w:t>гендерно</w:t>
      </w:r>
      <w:proofErr w:type="spellEnd"/>
      <w:r w:rsidRPr="00086F76">
        <w:rPr>
          <w:rFonts w:eastAsia="Times New Roman"/>
          <w:sz w:val="28"/>
          <w:szCs w:val="28"/>
        </w:rPr>
        <w:t xml:space="preserve"> нейтральним.</w:t>
      </w:r>
    </w:p>
    <w:p w14:paraId="376D5160" w14:textId="5A84FEF1" w:rsidR="00086F76" w:rsidRPr="00086F76" w:rsidRDefault="00086F76" w:rsidP="00086F76">
      <w:pPr>
        <w:pStyle w:val="a6"/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86F76">
        <w:rPr>
          <w:rFonts w:eastAsia="Times New Roman"/>
          <w:sz w:val="28"/>
          <w:szCs w:val="28"/>
        </w:rPr>
        <w:lastRenderedPageBreak/>
        <w:t xml:space="preserve">У </w:t>
      </w:r>
      <w:proofErr w:type="spellStart"/>
      <w:r w:rsidRPr="00086F76">
        <w:rPr>
          <w:rFonts w:eastAsia="Times New Roman"/>
          <w:sz w:val="28"/>
          <w:szCs w:val="28"/>
        </w:rPr>
        <w:t>проєкті</w:t>
      </w:r>
      <w:proofErr w:type="spellEnd"/>
      <w:r w:rsidRPr="00086F76">
        <w:rPr>
          <w:rFonts w:eastAsia="Times New Roman"/>
          <w:sz w:val="28"/>
          <w:szCs w:val="28"/>
        </w:rPr>
        <w:t xml:space="preserve"> </w:t>
      </w:r>
      <w:r w:rsidR="00711F79">
        <w:rPr>
          <w:rFonts w:eastAsia="Times New Roman"/>
          <w:sz w:val="28"/>
          <w:szCs w:val="28"/>
        </w:rPr>
        <w:t>Закону</w:t>
      </w:r>
      <w:r w:rsidRPr="00086F76">
        <w:rPr>
          <w:rFonts w:eastAsia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пов’язаних із корупцією. Рішення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649BEB5A" w14:textId="4A1617C2" w:rsidR="00D40D4A" w:rsidRPr="00D40D4A" w:rsidRDefault="00086F76" w:rsidP="00086F76">
      <w:pPr>
        <w:pStyle w:val="a6"/>
        <w:tabs>
          <w:tab w:val="clear" w:pos="4677"/>
          <w:tab w:val="clear" w:pos="9355"/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86F76">
        <w:rPr>
          <w:rFonts w:eastAsia="Times New Roman"/>
          <w:sz w:val="28"/>
          <w:szCs w:val="28"/>
        </w:rPr>
        <w:t xml:space="preserve">У </w:t>
      </w:r>
      <w:proofErr w:type="spellStart"/>
      <w:r w:rsidRPr="00086F76">
        <w:rPr>
          <w:rFonts w:eastAsia="Times New Roman"/>
          <w:sz w:val="28"/>
          <w:szCs w:val="28"/>
        </w:rPr>
        <w:t>проєкті</w:t>
      </w:r>
      <w:proofErr w:type="spellEnd"/>
      <w:r w:rsidRPr="00086F76">
        <w:rPr>
          <w:rFonts w:eastAsia="Times New Roman"/>
          <w:sz w:val="28"/>
          <w:szCs w:val="28"/>
        </w:rPr>
        <w:t xml:space="preserve"> </w:t>
      </w:r>
      <w:r w:rsidR="00711F79">
        <w:rPr>
          <w:rFonts w:eastAsia="Times New Roman"/>
          <w:sz w:val="28"/>
          <w:szCs w:val="28"/>
        </w:rPr>
        <w:t>Закону</w:t>
      </w:r>
      <w:r w:rsidRPr="00086F76">
        <w:rPr>
          <w:rFonts w:eastAsia="Times New Roman"/>
          <w:sz w:val="28"/>
          <w:szCs w:val="28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 w:rsidRPr="00086F76">
        <w:rPr>
          <w:rFonts w:eastAsia="Times New Roman"/>
          <w:sz w:val="28"/>
          <w:szCs w:val="28"/>
        </w:rPr>
        <w:t>Проєкт</w:t>
      </w:r>
      <w:proofErr w:type="spellEnd"/>
      <w:r w:rsidRPr="00086F76">
        <w:rPr>
          <w:rFonts w:eastAsia="Times New Roman"/>
          <w:sz w:val="28"/>
          <w:szCs w:val="28"/>
        </w:rPr>
        <w:t xml:space="preserve"> </w:t>
      </w:r>
      <w:r w:rsidR="00711F79">
        <w:rPr>
          <w:rFonts w:eastAsia="Times New Roman"/>
          <w:sz w:val="28"/>
          <w:szCs w:val="28"/>
        </w:rPr>
        <w:t>Закону</w:t>
      </w:r>
      <w:r w:rsidRPr="00086F76">
        <w:rPr>
          <w:rFonts w:eastAsia="Times New Roman"/>
          <w:sz w:val="28"/>
          <w:szCs w:val="28"/>
        </w:rPr>
        <w:t xml:space="preserve"> не потребує проведення громадської </w:t>
      </w:r>
      <w:proofErr w:type="spellStart"/>
      <w:r w:rsidRPr="00086F76">
        <w:rPr>
          <w:rFonts w:eastAsia="Times New Roman"/>
          <w:sz w:val="28"/>
          <w:szCs w:val="28"/>
        </w:rPr>
        <w:t>антидискримінаційної</w:t>
      </w:r>
      <w:proofErr w:type="spellEnd"/>
      <w:r w:rsidRPr="00086F76">
        <w:rPr>
          <w:rFonts w:eastAsia="Times New Roman"/>
          <w:sz w:val="28"/>
          <w:szCs w:val="28"/>
        </w:rPr>
        <w:t xml:space="preserve"> експертизи.</w:t>
      </w:r>
      <w:r w:rsidR="00711F79">
        <w:rPr>
          <w:rFonts w:eastAsia="Times New Roman"/>
          <w:sz w:val="28"/>
          <w:szCs w:val="28"/>
        </w:rPr>
        <w:t xml:space="preserve"> </w:t>
      </w:r>
      <w:proofErr w:type="spellStart"/>
      <w:r w:rsidR="00D40D4A" w:rsidRPr="00D40D4A">
        <w:rPr>
          <w:rFonts w:eastAsia="Times New Roman"/>
          <w:sz w:val="28"/>
          <w:szCs w:val="28"/>
        </w:rPr>
        <w:t>Проєкт</w:t>
      </w:r>
      <w:proofErr w:type="spellEnd"/>
      <w:r w:rsidR="00D40D4A" w:rsidRPr="00D40D4A">
        <w:rPr>
          <w:rFonts w:eastAsia="Times New Roman"/>
          <w:sz w:val="28"/>
          <w:szCs w:val="28"/>
        </w:rPr>
        <w:t xml:space="preserve"> </w:t>
      </w:r>
      <w:r w:rsidR="00D40D4A">
        <w:rPr>
          <w:rFonts w:eastAsia="Times New Roman"/>
          <w:sz w:val="28"/>
          <w:szCs w:val="28"/>
        </w:rPr>
        <w:t>Закону</w:t>
      </w:r>
      <w:r w:rsidR="00D40D4A" w:rsidRPr="00D40D4A">
        <w:rPr>
          <w:rFonts w:eastAsia="Times New Roman"/>
          <w:sz w:val="28"/>
          <w:szCs w:val="28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14:paraId="68452075" w14:textId="77777777" w:rsidR="00AA153D" w:rsidRPr="009B56F3" w:rsidRDefault="00AA153D" w:rsidP="00C74D44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0"/>
          <w:szCs w:val="20"/>
        </w:rPr>
      </w:pPr>
    </w:p>
    <w:p w14:paraId="69238D14" w14:textId="77777777" w:rsidR="00335710" w:rsidRPr="00C013A7" w:rsidRDefault="00741837" w:rsidP="00C74D44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C013A7">
        <w:rPr>
          <w:b/>
          <w:bCs/>
          <w:sz w:val="28"/>
          <w:szCs w:val="28"/>
          <w:lang w:eastAsia="uk-UA"/>
        </w:rPr>
        <w:t>8. Прогноз результатів</w:t>
      </w:r>
    </w:p>
    <w:p w14:paraId="7F732E69" w14:textId="58B19AD0" w:rsidR="00E70434" w:rsidRPr="00E55B4F" w:rsidRDefault="00E70434" w:rsidP="00E70434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55B4F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E55B4F">
        <w:rPr>
          <w:rFonts w:eastAsia="Times New Roman"/>
          <w:sz w:val="28"/>
          <w:szCs w:val="28"/>
        </w:rPr>
        <w:t>проєкту</w:t>
      </w:r>
      <w:proofErr w:type="spellEnd"/>
      <w:r>
        <w:rPr>
          <w:rFonts w:eastAsia="Times New Roman"/>
          <w:sz w:val="28"/>
          <w:szCs w:val="28"/>
        </w:rPr>
        <w:t xml:space="preserve"> Закону</w:t>
      </w:r>
      <w:r w:rsidRPr="00E55B4F">
        <w:rPr>
          <w:rFonts w:eastAsia="Times New Roman"/>
          <w:sz w:val="28"/>
          <w:szCs w:val="28"/>
        </w:rPr>
        <w:t xml:space="preserve"> не матиме впливу на ринкове середовище, розвиток регіонів, підвищення чи зниження спроможності територіальних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громад; ринок праці, рівень зайнятості населення; екологію та навколишнє природне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середовище, обсяг природних ресурсів, рівень забруднення атмосферного повітря,</w:t>
      </w:r>
      <w:r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води, земель, зокрема забруднення утвореними відходами, інші суспільні відносини.</w:t>
      </w:r>
    </w:p>
    <w:p w14:paraId="00C87127" w14:textId="19F50FE6" w:rsidR="00E70434" w:rsidRDefault="00E70434" w:rsidP="00E70434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E55B4F">
        <w:rPr>
          <w:rFonts w:eastAsia="Times New Roman"/>
          <w:sz w:val="28"/>
          <w:szCs w:val="28"/>
        </w:rPr>
        <w:t xml:space="preserve">еалізація </w:t>
      </w:r>
      <w:proofErr w:type="spellStart"/>
      <w:r>
        <w:rPr>
          <w:rFonts w:eastAsia="Times New Roman"/>
          <w:sz w:val="28"/>
          <w:szCs w:val="28"/>
        </w:rPr>
        <w:t>проєкту</w:t>
      </w:r>
      <w:proofErr w:type="spellEnd"/>
      <w:r>
        <w:rPr>
          <w:rFonts w:eastAsia="Times New Roman"/>
          <w:sz w:val="28"/>
          <w:szCs w:val="28"/>
        </w:rPr>
        <w:t xml:space="preserve"> Закону </w:t>
      </w:r>
      <w:r w:rsidRPr="00E55B4F">
        <w:rPr>
          <w:rFonts w:eastAsia="Times New Roman"/>
          <w:sz w:val="28"/>
          <w:szCs w:val="28"/>
        </w:rPr>
        <w:t xml:space="preserve">слугуватиме </w:t>
      </w:r>
      <w:r w:rsidRPr="00E70434">
        <w:rPr>
          <w:rFonts w:eastAsia="Times New Roman"/>
          <w:sz w:val="28"/>
          <w:szCs w:val="28"/>
        </w:rPr>
        <w:t>вдосконаленн</w:t>
      </w:r>
      <w:r>
        <w:rPr>
          <w:rFonts w:eastAsia="Times New Roman"/>
          <w:sz w:val="28"/>
          <w:szCs w:val="28"/>
        </w:rPr>
        <w:t>ю</w:t>
      </w:r>
      <w:r w:rsidRPr="00E70434">
        <w:rPr>
          <w:rFonts w:eastAsia="Times New Roman"/>
          <w:sz w:val="28"/>
          <w:szCs w:val="28"/>
        </w:rPr>
        <w:t xml:space="preserve"> положень Закону про азартні ігри </w:t>
      </w:r>
      <w:r>
        <w:rPr>
          <w:rFonts w:eastAsia="Times New Roman"/>
          <w:sz w:val="28"/>
          <w:szCs w:val="28"/>
        </w:rPr>
        <w:t>в</w:t>
      </w:r>
      <w:r w:rsidRPr="00E70434">
        <w:rPr>
          <w:rFonts w:eastAsia="Times New Roman"/>
          <w:sz w:val="28"/>
          <w:szCs w:val="28"/>
        </w:rPr>
        <w:t xml:space="preserve"> частині захисту прав гравців</w:t>
      </w:r>
      <w:r>
        <w:rPr>
          <w:rFonts w:eastAsia="Times New Roman"/>
          <w:sz w:val="28"/>
          <w:szCs w:val="28"/>
        </w:rPr>
        <w:t>.</w:t>
      </w:r>
    </w:p>
    <w:p w14:paraId="24A99426" w14:textId="23FD9C7A" w:rsidR="00E70434" w:rsidRPr="002B4AAA" w:rsidRDefault="00E70434" w:rsidP="00E70434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 xml:space="preserve">Прогноз очікуваних результатів реалізації </w:t>
      </w:r>
      <w:proofErr w:type="spellStart"/>
      <w:r w:rsidRPr="002B4AAA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</w:rPr>
        <w:t>Закону</w:t>
      </w:r>
      <w:r w:rsidRPr="002B4AAA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</w:t>
      </w:r>
      <w:r w:rsidR="00415AB2">
        <w:rPr>
          <w:rFonts w:eastAsia="Times New Roman"/>
          <w:sz w:val="28"/>
          <w:szCs w:val="28"/>
          <w:lang w:eastAsia="uk-UA"/>
        </w:rPr>
        <w:t>в</w:t>
      </w:r>
      <w:r w:rsidRPr="002B4AAA">
        <w:rPr>
          <w:rFonts w:eastAsia="Times New Roman"/>
          <w:sz w:val="28"/>
          <w:szCs w:val="28"/>
          <w:lang w:eastAsia="uk-UA"/>
        </w:rPr>
        <w:t xml:space="preserve">сіх заінтересованих сторін: держави  </w:t>
      </w:r>
      <w:r>
        <w:rPr>
          <w:rFonts w:eastAsia="Times New Roman"/>
          <w:sz w:val="28"/>
          <w:szCs w:val="28"/>
          <w:lang w:eastAsia="uk-UA"/>
        </w:rPr>
        <w:t>та суб’єктів господарювання, що здійснюють діяльність у сфер</w:t>
      </w:r>
      <w:r w:rsidR="00415AB2">
        <w:rPr>
          <w:rFonts w:eastAsia="Times New Roman"/>
          <w:sz w:val="28"/>
          <w:szCs w:val="28"/>
          <w:lang w:eastAsia="uk-UA"/>
        </w:rPr>
        <w:t>і</w:t>
      </w:r>
      <w:r>
        <w:rPr>
          <w:rFonts w:eastAsia="Times New Roman"/>
          <w:sz w:val="28"/>
          <w:szCs w:val="28"/>
          <w:lang w:eastAsia="uk-UA"/>
        </w:rPr>
        <w:t xml:space="preserve"> організації та проведення азартних ігор</w:t>
      </w:r>
      <w:r w:rsidRPr="002B4AAA">
        <w:rPr>
          <w:rFonts w:eastAsia="Times New Roman"/>
          <w:sz w:val="28"/>
          <w:szCs w:val="28"/>
          <w:lang w:eastAsia="uk-UA"/>
        </w:rPr>
        <w:t xml:space="preserve">, а також не містить ризиків </w:t>
      </w:r>
      <w:r w:rsidR="00415AB2">
        <w:rPr>
          <w:rFonts w:eastAsia="Times New Roman"/>
          <w:sz w:val="28"/>
          <w:szCs w:val="28"/>
          <w:lang w:eastAsia="uk-UA"/>
        </w:rPr>
        <w:t>під час</w:t>
      </w:r>
      <w:r w:rsidRPr="002B4AAA">
        <w:rPr>
          <w:rFonts w:eastAsia="Times New Roman"/>
          <w:sz w:val="28"/>
          <w:szCs w:val="28"/>
          <w:lang w:eastAsia="uk-UA"/>
        </w:rPr>
        <w:t xml:space="preserve"> реалізації положень </w:t>
      </w:r>
      <w:proofErr w:type="spellStart"/>
      <w:r w:rsidRPr="002B4AAA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</w:rPr>
        <w:t>Закону</w:t>
      </w:r>
      <w:r w:rsidRPr="002B4AAA">
        <w:rPr>
          <w:rFonts w:eastAsia="Times New Roman"/>
          <w:sz w:val="28"/>
          <w:szCs w:val="28"/>
        </w:rPr>
        <w:t>.</w:t>
      </w:r>
    </w:p>
    <w:p w14:paraId="577FEF03" w14:textId="77777777" w:rsidR="00335710" w:rsidRDefault="0033571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4A57B023" w14:textId="77777777" w:rsidR="009B56F3" w:rsidRDefault="009B56F3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424A5E52" w14:textId="50643491" w:rsidR="000574F5" w:rsidRPr="00C013A7" w:rsidRDefault="008F6F5F" w:rsidP="00415AB2">
      <w:pPr>
        <w:tabs>
          <w:tab w:val="left" w:pos="7088"/>
        </w:tabs>
        <w:jc w:val="both"/>
        <w:rPr>
          <w:rFonts w:eastAsia="Times New Roman"/>
          <w:b/>
          <w:bCs/>
          <w:sz w:val="28"/>
          <w:szCs w:val="28"/>
        </w:rPr>
      </w:pPr>
      <w:r w:rsidRPr="00C013A7">
        <w:rPr>
          <w:rFonts w:eastAsia="Times New Roman"/>
          <w:b/>
          <w:bCs/>
          <w:sz w:val="28"/>
          <w:szCs w:val="28"/>
        </w:rPr>
        <w:t>Голов</w:t>
      </w:r>
      <w:r w:rsidR="00AD53D1" w:rsidRPr="00C013A7">
        <w:rPr>
          <w:rFonts w:eastAsia="Times New Roman"/>
          <w:b/>
          <w:bCs/>
          <w:sz w:val="28"/>
          <w:szCs w:val="28"/>
        </w:rPr>
        <w:t>а</w:t>
      </w:r>
      <w:r w:rsidRPr="00C013A7">
        <w:rPr>
          <w:rFonts w:eastAsia="Times New Roman"/>
          <w:b/>
          <w:bCs/>
          <w:sz w:val="28"/>
          <w:szCs w:val="28"/>
        </w:rPr>
        <w:t xml:space="preserve"> КРАІЛ</w:t>
      </w:r>
      <w:r w:rsidR="001D63FF" w:rsidRPr="00C013A7">
        <w:rPr>
          <w:rFonts w:eastAsia="Times New Roman"/>
          <w:b/>
          <w:bCs/>
          <w:sz w:val="28"/>
          <w:szCs w:val="28"/>
        </w:rPr>
        <w:t xml:space="preserve"> </w:t>
      </w:r>
      <w:r w:rsidR="00A801E5" w:rsidRPr="00C013A7">
        <w:rPr>
          <w:rFonts w:eastAsia="Times New Roman"/>
          <w:b/>
          <w:bCs/>
          <w:sz w:val="28"/>
          <w:szCs w:val="28"/>
        </w:rPr>
        <w:t xml:space="preserve"> </w:t>
      </w:r>
      <w:r w:rsidR="00741837" w:rsidRPr="00C013A7">
        <w:rPr>
          <w:rFonts w:eastAsia="Times New Roman"/>
          <w:b/>
          <w:bCs/>
          <w:sz w:val="28"/>
          <w:szCs w:val="28"/>
        </w:rPr>
        <w:t xml:space="preserve">  </w:t>
      </w:r>
      <w:r w:rsidR="00A801E5" w:rsidRPr="00C013A7">
        <w:rPr>
          <w:rFonts w:eastAsia="Times New Roman"/>
          <w:b/>
          <w:bCs/>
          <w:sz w:val="28"/>
          <w:szCs w:val="28"/>
        </w:rPr>
        <w:tab/>
      </w:r>
      <w:r w:rsidR="00AD53D1" w:rsidRPr="00C013A7">
        <w:rPr>
          <w:rFonts w:eastAsia="Times New Roman"/>
          <w:b/>
          <w:bCs/>
          <w:sz w:val="28"/>
          <w:szCs w:val="28"/>
        </w:rPr>
        <w:t>Іван РУДИЙ</w:t>
      </w:r>
      <w:bookmarkStart w:id="10" w:name="_heading=h.xkqmbsmrv6wu21"/>
      <w:bookmarkStart w:id="11" w:name="_heading=h.gwphwd4ryvt412"/>
      <w:bookmarkStart w:id="12" w:name="_heading=h.gwphwd4ryvt411"/>
      <w:bookmarkStart w:id="13" w:name="_heading=h.cw2azyb21peu1"/>
      <w:bookmarkStart w:id="14" w:name="_heading=h.tf2gk3lsnlrh1"/>
      <w:bookmarkStart w:id="15" w:name="_heading=h.hmqu6hyizdd1212"/>
      <w:bookmarkStart w:id="16" w:name="_heading=h.hmqu6hyizdd12111"/>
      <w:bookmarkEnd w:id="10"/>
      <w:bookmarkEnd w:id="11"/>
      <w:bookmarkEnd w:id="12"/>
      <w:bookmarkEnd w:id="13"/>
      <w:bookmarkEnd w:id="14"/>
      <w:bookmarkEnd w:id="15"/>
      <w:bookmarkEnd w:id="16"/>
      <w:r w:rsidR="00741837" w:rsidRPr="00C013A7">
        <w:rPr>
          <w:rFonts w:eastAsia="Times New Roman"/>
          <w:b/>
          <w:bCs/>
          <w:sz w:val="28"/>
          <w:szCs w:val="28"/>
        </w:rPr>
        <w:tab/>
      </w:r>
    </w:p>
    <w:sectPr w:rsidR="000574F5" w:rsidRPr="00C013A7" w:rsidSect="00E076D8">
      <w:headerReference w:type="default" r:id="rId7"/>
      <w:headerReference w:type="first" r:id="rId8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7E67" w14:textId="77777777" w:rsidR="0001054E" w:rsidRDefault="0001054E">
      <w:r>
        <w:separator/>
      </w:r>
    </w:p>
  </w:endnote>
  <w:endnote w:type="continuationSeparator" w:id="0">
    <w:p w14:paraId="730A14EE" w14:textId="77777777" w:rsidR="0001054E" w:rsidRDefault="0001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AABA" w14:textId="77777777" w:rsidR="0001054E" w:rsidRDefault="0001054E">
      <w:r>
        <w:separator/>
      </w:r>
    </w:p>
  </w:footnote>
  <w:footnote w:type="continuationSeparator" w:id="0">
    <w:p w14:paraId="45C7C485" w14:textId="77777777" w:rsidR="0001054E" w:rsidRDefault="0001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E860" w14:textId="77777777" w:rsidR="00456EEC" w:rsidRPr="00C84574" w:rsidRDefault="00456EEC">
    <w:pPr>
      <w:pStyle w:val="a6"/>
      <w:jc w:val="center"/>
      <w:rPr>
        <w:sz w:val="28"/>
        <w:szCs w:val="28"/>
      </w:rPr>
    </w:pPr>
    <w:r w:rsidRPr="00C84574">
      <w:rPr>
        <w:sz w:val="28"/>
        <w:szCs w:val="28"/>
      </w:rPr>
      <w:fldChar w:fldCharType="begin"/>
    </w:r>
    <w:r w:rsidRPr="00C84574">
      <w:rPr>
        <w:sz w:val="28"/>
        <w:szCs w:val="28"/>
      </w:rPr>
      <w:instrText>PAGE</w:instrText>
    </w:r>
    <w:r w:rsidRPr="00C84574">
      <w:rPr>
        <w:sz w:val="28"/>
        <w:szCs w:val="28"/>
      </w:rPr>
      <w:fldChar w:fldCharType="separate"/>
    </w:r>
    <w:r w:rsidR="0035470F" w:rsidRPr="00C84574">
      <w:rPr>
        <w:noProof/>
        <w:sz w:val="28"/>
        <w:szCs w:val="28"/>
      </w:rPr>
      <w:t>4</w:t>
    </w:r>
    <w:r w:rsidRPr="00C845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F4E2" w14:textId="77777777" w:rsidR="00456EEC" w:rsidRDefault="00456EE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1054E"/>
    <w:rsid w:val="000174D4"/>
    <w:rsid w:val="00030DF6"/>
    <w:rsid w:val="000574F5"/>
    <w:rsid w:val="00070A7F"/>
    <w:rsid w:val="00071466"/>
    <w:rsid w:val="00086F76"/>
    <w:rsid w:val="00090461"/>
    <w:rsid w:val="000C0B3B"/>
    <w:rsid w:val="000C6F4B"/>
    <w:rsid w:val="000E7071"/>
    <w:rsid w:val="000F12D7"/>
    <w:rsid w:val="00107A4B"/>
    <w:rsid w:val="0011631E"/>
    <w:rsid w:val="00125DFD"/>
    <w:rsid w:val="0013163B"/>
    <w:rsid w:val="00150A34"/>
    <w:rsid w:val="001653A6"/>
    <w:rsid w:val="001732C0"/>
    <w:rsid w:val="00186121"/>
    <w:rsid w:val="00196157"/>
    <w:rsid w:val="00196B75"/>
    <w:rsid w:val="001B7722"/>
    <w:rsid w:val="001D63FF"/>
    <w:rsid w:val="00204DF6"/>
    <w:rsid w:val="002059B2"/>
    <w:rsid w:val="00216B2F"/>
    <w:rsid w:val="002261E9"/>
    <w:rsid w:val="0026171A"/>
    <w:rsid w:val="0027134E"/>
    <w:rsid w:val="002762B7"/>
    <w:rsid w:val="00282F98"/>
    <w:rsid w:val="002A5033"/>
    <w:rsid w:val="002B4AAA"/>
    <w:rsid w:val="002E4C5E"/>
    <w:rsid w:val="00335710"/>
    <w:rsid w:val="0034718D"/>
    <w:rsid w:val="0035470F"/>
    <w:rsid w:val="00363FAD"/>
    <w:rsid w:val="00384955"/>
    <w:rsid w:val="00394EF2"/>
    <w:rsid w:val="003A63FF"/>
    <w:rsid w:val="003C5943"/>
    <w:rsid w:val="003D0E70"/>
    <w:rsid w:val="003D3CC5"/>
    <w:rsid w:val="00415AB2"/>
    <w:rsid w:val="00421C44"/>
    <w:rsid w:val="0042780A"/>
    <w:rsid w:val="00451927"/>
    <w:rsid w:val="0045568F"/>
    <w:rsid w:val="00456EEC"/>
    <w:rsid w:val="004756A1"/>
    <w:rsid w:val="004A103D"/>
    <w:rsid w:val="004B0DFD"/>
    <w:rsid w:val="004B7334"/>
    <w:rsid w:val="004D196A"/>
    <w:rsid w:val="004D61B0"/>
    <w:rsid w:val="004E0782"/>
    <w:rsid w:val="004E57A5"/>
    <w:rsid w:val="004F117C"/>
    <w:rsid w:val="004F34B8"/>
    <w:rsid w:val="005266A2"/>
    <w:rsid w:val="00545B9C"/>
    <w:rsid w:val="00557B20"/>
    <w:rsid w:val="0056649A"/>
    <w:rsid w:val="005C6CDF"/>
    <w:rsid w:val="005E460A"/>
    <w:rsid w:val="00617C44"/>
    <w:rsid w:val="006302B3"/>
    <w:rsid w:val="00671E17"/>
    <w:rsid w:val="00675B8A"/>
    <w:rsid w:val="006A38C7"/>
    <w:rsid w:val="006D2273"/>
    <w:rsid w:val="006D77DF"/>
    <w:rsid w:val="006F618E"/>
    <w:rsid w:val="006F6254"/>
    <w:rsid w:val="00711F79"/>
    <w:rsid w:val="0071420B"/>
    <w:rsid w:val="00741837"/>
    <w:rsid w:val="00753606"/>
    <w:rsid w:val="00762783"/>
    <w:rsid w:val="007C1A8B"/>
    <w:rsid w:val="007C4F00"/>
    <w:rsid w:val="00815C74"/>
    <w:rsid w:val="00834FEC"/>
    <w:rsid w:val="00844672"/>
    <w:rsid w:val="00892431"/>
    <w:rsid w:val="008F6F5F"/>
    <w:rsid w:val="00900893"/>
    <w:rsid w:val="00901B05"/>
    <w:rsid w:val="00921A97"/>
    <w:rsid w:val="00934E02"/>
    <w:rsid w:val="009479CD"/>
    <w:rsid w:val="0097607A"/>
    <w:rsid w:val="00980F13"/>
    <w:rsid w:val="00993790"/>
    <w:rsid w:val="009B08A6"/>
    <w:rsid w:val="009B56F3"/>
    <w:rsid w:val="009D2F6A"/>
    <w:rsid w:val="009F3DB9"/>
    <w:rsid w:val="00A218FE"/>
    <w:rsid w:val="00A3636A"/>
    <w:rsid w:val="00A37CF9"/>
    <w:rsid w:val="00A40926"/>
    <w:rsid w:val="00A72136"/>
    <w:rsid w:val="00A801E5"/>
    <w:rsid w:val="00A8266D"/>
    <w:rsid w:val="00A84EA2"/>
    <w:rsid w:val="00AA153D"/>
    <w:rsid w:val="00AB4D3B"/>
    <w:rsid w:val="00AB504D"/>
    <w:rsid w:val="00AD53D1"/>
    <w:rsid w:val="00B13076"/>
    <w:rsid w:val="00B21244"/>
    <w:rsid w:val="00B214F0"/>
    <w:rsid w:val="00B504B3"/>
    <w:rsid w:val="00B55492"/>
    <w:rsid w:val="00B765EE"/>
    <w:rsid w:val="00BC4234"/>
    <w:rsid w:val="00BD3CAB"/>
    <w:rsid w:val="00C013A7"/>
    <w:rsid w:val="00C02A3E"/>
    <w:rsid w:val="00C11AA8"/>
    <w:rsid w:val="00C74D44"/>
    <w:rsid w:val="00C84574"/>
    <w:rsid w:val="00CB5C8E"/>
    <w:rsid w:val="00CD3F4D"/>
    <w:rsid w:val="00D05611"/>
    <w:rsid w:val="00D16A6E"/>
    <w:rsid w:val="00D3721B"/>
    <w:rsid w:val="00D40D4A"/>
    <w:rsid w:val="00D604BF"/>
    <w:rsid w:val="00D61DBD"/>
    <w:rsid w:val="00D70290"/>
    <w:rsid w:val="00D82B4E"/>
    <w:rsid w:val="00DA23F8"/>
    <w:rsid w:val="00DC3CCD"/>
    <w:rsid w:val="00DD32BB"/>
    <w:rsid w:val="00DE40B0"/>
    <w:rsid w:val="00DF5016"/>
    <w:rsid w:val="00E076D8"/>
    <w:rsid w:val="00E23512"/>
    <w:rsid w:val="00E35D59"/>
    <w:rsid w:val="00E35E4B"/>
    <w:rsid w:val="00E55B4F"/>
    <w:rsid w:val="00E630C4"/>
    <w:rsid w:val="00E70434"/>
    <w:rsid w:val="00EA7946"/>
    <w:rsid w:val="00EC2923"/>
    <w:rsid w:val="00EE0228"/>
    <w:rsid w:val="00EE1FD4"/>
    <w:rsid w:val="00EE44DB"/>
    <w:rsid w:val="00EF1B26"/>
    <w:rsid w:val="00F231B9"/>
    <w:rsid w:val="00F61406"/>
    <w:rsid w:val="00F66684"/>
    <w:rsid w:val="00F71976"/>
    <w:rsid w:val="00F801C3"/>
    <w:rsid w:val="00F949F0"/>
    <w:rsid w:val="00FA1BB6"/>
    <w:rsid w:val="00FB551E"/>
    <w:rsid w:val="00FC3EEC"/>
    <w:rsid w:val="00FC59AF"/>
    <w:rsid w:val="00FD787E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5AC7"/>
  <w15:docId w15:val="{9130A388-CB27-4F6C-85AE-4F7B210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10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a">
    <w:name w:val="List"/>
    <w:basedOn w:val="a4"/>
    <w:uiPriority w:val="99"/>
    <w:rsid w:val="0026700B"/>
    <w:rPr>
      <w:rFonts w:cs="Arial"/>
    </w:rPr>
  </w:style>
  <w:style w:type="paragraph" w:styleId="ab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e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table" w:styleId="af2">
    <w:name w:val="Table Grid"/>
    <w:basedOn w:val="a1"/>
    <w:locked/>
    <w:rsid w:val="00E3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CE89-8A21-4E79-A706-A0CD3409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5467</Words>
  <Characters>3117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Скоробагатько Тарас Вікторович</cp:lastModifiedBy>
  <cp:revision>76</cp:revision>
  <cp:lastPrinted>2024-12-17T13:06:00Z</cp:lastPrinted>
  <dcterms:created xsi:type="dcterms:W3CDTF">2021-10-25T07:50:00Z</dcterms:created>
  <dcterms:modified xsi:type="dcterms:W3CDTF">2024-12-18T09:46:00Z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