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E6" w:rsidRPr="00F712D5" w:rsidRDefault="007253E6" w:rsidP="00631A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12D5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:rsidR="004A1A64" w:rsidRDefault="007253E6" w:rsidP="000C3C5D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712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проєкту </w:t>
      </w:r>
      <w:r w:rsidRPr="00F712D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рішення Комісії з регул</w:t>
      </w:r>
      <w:r w:rsidR="000C3C5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ювання азартних ігор та лотерей </w:t>
      </w:r>
      <w:r w:rsidR="000C3C5D" w:rsidRPr="000C3C5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«Про затвердження Порядку </w:t>
      </w:r>
      <w:proofErr w:type="spellStart"/>
      <w:r w:rsidR="000C3C5D" w:rsidRPr="000C3C5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недопуску</w:t>
      </w:r>
      <w:proofErr w:type="spellEnd"/>
      <w:r w:rsidR="000C3C5D" w:rsidRPr="000C3C5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до участі в азартних іграх осіб, яким обмежено доступ до участі в азартних іграх, та осіб, у яких виражена ігрова залежність (</w:t>
      </w:r>
      <w:proofErr w:type="spellStart"/>
      <w:r w:rsidR="000C3C5D" w:rsidRPr="000C3C5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лудоманія</w:t>
      </w:r>
      <w:proofErr w:type="spellEnd"/>
      <w:r w:rsidR="000C3C5D" w:rsidRPr="000C3C5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)»</w:t>
      </w:r>
    </w:p>
    <w:p w:rsidR="000C3C5D" w:rsidRPr="00F712D5" w:rsidRDefault="000C3C5D" w:rsidP="00631A98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253E6" w:rsidRPr="00F712D5" w:rsidRDefault="007253E6" w:rsidP="007253E6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12D5">
        <w:rPr>
          <w:rFonts w:ascii="Times New Roman" w:hAnsi="Times New Roman" w:cs="Times New Roman"/>
          <w:b/>
          <w:sz w:val="28"/>
          <w:szCs w:val="28"/>
          <w:lang w:val="uk-UA"/>
        </w:rPr>
        <w:t>1. Визначення проблеми</w:t>
      </w:r>
    </w:p>
    <w:p w:rsidR="00E67368" w:rsidRPr="00F712D5" w:rsidRDefault="007253E6" w:rsidP="00E67368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1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Проєкт рішення Комісії з регулювання азартних ігор та лотерей </w:t>
      </w:r>
      <w:r w:rsidR="00631A98" w:rsidRPr="00F712D5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Порядку </w:t>
      </w:r>
      <w:proofErr w:type="spellStart"/>
      <w:r w:rsidR="00631A98" w:rsidRPr="00F712D5">
        <w:rPr>
          <w:rFonts w:ascii="Times New Roman" w:hAnsi="Times New Roman" w:cs="Times New Roman"/>
          <w:sz w:val="28"/>
          <w:szCs w:val="28"/>
          <w:lang w:val="uk-UA"/>
        </w:rPr>
        <w:t>недопуску</w:t>
      </w:r>
      <w:proofErr w:type="spellEnd"/>
      <w:r w:rsidR="00631A98" w:rsidRPr="00F712D5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азартних іграх осіб, яким обмежено доступ до участі в азартних іграх, та осіб, у яких виражена ігрова залежність (лудоманія)» </w:t>
      </w:r>
      <w:r w:rsidR="00D73296" w:rsidRPr="00F71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(далі – проєкт рішення) </w:t>
      </w:r>
      <w:r w:rsidRPr="00F71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розроблено на виконання </w:t>
      </w:r>
      <w:r w:rsidR="00280BA0" w:rsidRPr="00F712D5">
        <w:rPr>
          <w:rFonts w:ascii="Times New Roman" w:hAnsi="Times New Roman" w:cs="Times New Roman"/>
          <w:sz w:val="28"/>
          <w:szCs w:val="28"/>
          <w:lang w:val="uk-UA" w:eastAsia="uk-UA"/>
        </w:rPr>
        <w:t>вимог</w:t>
      </w:r>
      <w:r w:rsidRPr="00F71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Закону України «Про державне регулювання діяльності щодо організації та проведення азартних ігор» (далі – Закон).</w:t>
      </w:r>
    </w:p>
    <w:p w:rsidR="00C7375A" w:rsidRPr="00F712D5" w:rsidRDefault="00C7375A" w:rsidP="00C737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712D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Законом визначено, що метою державної політики у сфері організації та проведення азартних ігор є створення умов для зниження соціальних ризиків, пов’язаних з їх організацією та проведенням, забезпечення дотримання організаторами азартних ігор вимог законодавства. Досягнення цієї мети можливо лише за умови створення системи нормативно-правових актів, які б ефективно регулювали всі аспекти діяльності у сфері організації та проведення азартних ігор, встановлювали єдиний відкритий та чіткий механізм регулювання цієї сфери економіки. </w:t>
      </w:r>
    </w:p>
    <w:p w:rsidR="00955DB1" w:rsidRDefault="00A50F58" w:rsidP="00955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д</w:t>
      </w:r>
      <w:r w:rsidR="007911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ля зниження соціальних ризиків, </w:t>
      </w:r>
      <w:r w:rsidR="00791109" w:rsidRPr="00F712D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пов’язаних з організацією та проведенням</w:t>
      </w:r>
      <w:r w:rsidR="007911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азартних ігор</w:t>
      </w:r>
      <w:r w:rsidR="00791109" w:rsidRPr="00F712D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955DB1" w:rsidRPr="00F712D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91109" w:rsidRPr="00F712D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Законом визначено </w:t>
      </w:r>
      <w:r w:rsidR="007911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такі</w:t>
      </w:r>
      <w:r w:rsidR="00955DB1" w:rsidRPr="00F712D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принцип</w:t>
      </w:r>
      <w:r w:rsidR="007911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955DB1" w:rsidRPr="00F712D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державної політики у сфері організації та проведення азартних ігор </w:t>
      </w:r>
      <w:bookmarkStart w:id="0" w:name="n104"/>
      <w:bookmarkEnd w:id="0"/>
      <w:r w:rsidR="007911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як </w:t>
      </w:r>
      <w:r w:rsidR="00955DB1" w:rsidRPr="00F712D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захист прав, законних інтересів, життя та здоров’я громадян; </w:t>
      </w:r>
      <w:bookmarkStart w:id="1" w:name="n105"/>
      <w:bookmarkStart w:id="2" w:name="n106"/>
      <w:bookmarkEnd w:id="1"/>
      <w:bookmarkEnd w:id="2"/>
      <w:r w:rsidR="00955DB1" w:rsidRPr="00F712D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забезпечення принципу відповідальної гри; </w:t>
      </w:r>
      <w:bookmarkStart w:id="3" w:name="n107"/>
      <w:bookmarkEnd w:id="3"/>
      <w:r w:rsidR="00955DB1" w:rsidRPr="00F712D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забезпечення дотримання принципів прозорості, стабільності, відкритості, рівності, справедливості та </w:t>
      </w:r>
      <w:r w:rsidR="00955DB1" w:rsidRPr="00E36F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об’єктивності під час проведення азартних ігор; </w:t>
      </w:r>
      <w:bookmarkStart w:id="4" w:name="n108"/>
      <w:bookmarkStart w:id="5" w:name="n112"/>
      <w:bookmarkEnd w:id="4"/>
      <w:bookmarkEnd w:id="5"/>
      <w:r w:rsidR="00955DB1" w:rsidRPr="00E36F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боротьба з ігровою залежністю (лудоманією).</w:t>
      </w:r>
    </w:p>
    <w:p w:rsidR="00A50F58" w:rsidRDefault="00A50F58" w:rsidP="00A50F5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36F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Частиною другою статті 16 Закону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E36F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яка визначає вимоги щодо боротьби з ігровою залежністю (лудоманією)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E36F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встановлено, що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Pr="00E36F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метою мінімізації негативного впливу азартних ігор організатори азартних ігор зобов’язані дотримуватися принципів відповідальної гри, зокрема</w:t>
      </w:r>
      <w:bookmarkStart w:id="6" w:name="n422"/>
      <w:bookmarkEnd w:id="6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A50F58" w:rsidRPr="00432066" w:rsidRDefault="00A50F58" w:rsidP="00A50F58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3206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забезпечувати ідентифікацію гравця (гравців) та відвідувача (відвідувачів) у порядку, визначеному цим Законом, у гральному закладі та ідентифікацію гравця (гравців) під час провадження діяльності в мережі Інтернет.</w:t>
      </w:r>
    </w:p>
    <w:p w:rsidR="00A50F58" w:rsidRPr="00432066" w:rsidRDefault="00A50F58" w:rsidP="00A50F58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7" w:name="n423"/>
      <w:bookmarkEnd w:id="7"/>
      <w:r w:rsidRPr="0043206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випадках та порядку, встановлених КРАІЛ, не допускати до участі в азартних іграх осіб, яким обмежено доступ до участі в азартних іграх, та осіб, у яких виражена ігрова залежність (лудоманія).</w:t>
      </w:r>
    </w:p>
    <w:p w:rsidR="004B77D3" w:rsidRPr="004B77D3" w:rsidRDefault="004B77D3" w:rsidP="004B77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B77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Відповідальна гра – це базовий принцип організації та проведення азартних ігор, що передбачає здійснення організаторами азартних ігор заходів до попередження та мінімізації негативних наслідків участі фізичної особи в </w:t>
      </w:r>
      <w:r w:rsidRPr="004B77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азартній грі, а також заходів, спрямованих на організацію самообмежень і самоконтролю для гравців (пункт 10 частини першої статті 1 Закону).</w:t>
      </w:r>
    </w:p>
    <w:p w:rsidR="009040A8" w:rsidRDefault="00A50F58" w:rsidP="009040A8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вимог Закону </w:t>
      </w:r>
      <w:r w:rsidRPr="00E36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КРАІЛ від 11 серпня 2021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36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483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затверджено</w:t>
      </w:r>
      <w:r w:rsidR="009040A8" w:rsidRPr="00E36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040A8" w:rsidRPr="00E36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відповідальної гри,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з яких </w:t>
      </w:r>
      <w:r w:rsidR="009040A8" w:rsidRPr="00E36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обмеження гравця в участі в азартних іграх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9040A8" w:rsidRPr="00E36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зобов’язання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0A8" w:rsidRPr="00E36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організатора азартних ігор не допускати до участі в азартних іграх осіб, яким обмежено доступ до участі в азартних іграх, та осіб, у яких виражена ігрова залежність (лудоманія). </w:t>
      </w:r>
    </w:p>
    <w:p w:rsidR="004B77D3" w:rsidRPr="004B77D3" w:rsidRDefault="004B77D3" w:rsidP="004B77D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Організатори азартних ігор </w:t>
      </w:r>
      <w:r w:rsidRPr="004B77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відповідно до вимог пункту 17 частини першої статті 15 Закону зобов’язані вживати заходів для недопущення до гральних закладів та до участі в азартних іграх осіб, які не досягли 21-річного віку, та осіб, стосовно яких наявні обмеження згідно із Законом.</w:t>
      </w:r>
    </w:p>
    <w:p w:rsidR="004B77D3" w:rsidRPr="00506879" w:rsidRDefault="004B77D3" w:rsidP="004B77D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 цією метою згідно з вимогами статті 17 Закону </w:t>
      </w:r>
      <w:bookmarkStart w:id="8" w:name="n462"/>
      <w:bookmarkEnd w:id="8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організатори азартних ігор проводять і</w:t>
      </w:r>
      <w:r w:rsidRPr="0050687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дентифікаці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Pr="0050687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(верифікаці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Pr="0050687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встановлення даних) гравця або відвідувача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яка</w:t>
      </w:r>
      <w:r w:rsidRPr="0050687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передбачає збір інформації про:</w:t>
      </w:r>
    </w:p>
    <w:p w:rsidR="004B77D3" w:rsidRPr="00506879" w:rsidRDefault="004B77D3" w:rsidP="004B77D3">
      <w:pPr>
        <w:pStyle w:val="a8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9" w:name="n463"/>
      <w:bookmarkEnd w:id="9"/>
      <w:r w:rsidRPr="0050687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прізвище, ім’я, по батькові (за наявності) особи;</w:t>
      </w:r>
    </w:p>
    <w:p w:rsidR="004B77D3" w:rsidRPr="00506879" w:rsidRDefault="004B77D3" w:rsidP="004B77D3">
      <w:pPr>
        <w:pStyle w:val="a8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0" w:name="n464"/>
      <w:bookmarkEnd w:id="10"/>
      <w:r w:rsidRPr="0050687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вік (дату народження) особи;</w:t>
      </w:r>
    </w:p>
    <w:p w:rsidR="004B77D3" w:rsidRPr="00506879" w:rsidRDefault="004B77D3" w:rsidP="004B77D3">
      <w:pPr>
        <w:pStyle w:val="a8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1" w:name="n465"/>
      <w:bookmarkEnd w:id="11"/>
      <w:r w:rsidRPr="0050687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наявність або відсутність особи в Реєстрі осіб, яким обмежено доступ до гральних закладів та/або участь в азартних іграх.</w:t>
      </w:r>
    </w:p>
    <w:p w:rsidR="004B77D3" w:rsidRPr="004B77D3" w:rsidRDefault="004B77D3" w:rsidP="004B77D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7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Аналіз досвіду у сфері організації та проведення азартних ігор в інших країнах засвідчив важливість наявності дієвого механізму забезпечення </w:t>
      </w:r>
      <w:proofErr w:type="spellStart"/>
      <w:r w:rsidRPr="004B77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недопуску</w:t>
      </w:r>
      <w:proofErr w:type="spellEnd"/>
      <w:r w:rsidRPr="004B7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участі в азартних іграх осіб, яким  обмежено доступ до участі в азартних іграх, та осіб, у яких виражена ігрова залежність (лудоманія). </w:t>
      </w:r>
    </w:p>
    <w:p w:rsidR="004B77D3" w:rsidRPr="004B77D3" w:rsidRDefault="004B77D3" w:rsidP="004B7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7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 даними ВООЗ у світі приблизно 0,8 – 1% людей різною мірою страждають на </w:t>
      </w:r>
      <w:proofErr w:type="spellStart"/>
      <w:r w:rsidRPr="004B77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лудоманію</w:t>
      </w:r>
      <w:proofErr w:type="spellEnd"/>
      <w:r w:rsidRPr="004B77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4B7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Національної асоціації США щодо проблем азартних ігор свідчать про те, що з вірогідністю 48% людина, залежна від азартних ігор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B7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стати карним злочинцем.  </w:t>
      </w:r>
    </w:p>
    <w:p w:rsidR="004B77D3" w:rsidRPr="004B77D3" w:rsidRDefault="004B77D3" w:rsidP="004B77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B7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Україні поки що не існує загальнодержавної статистики, яка б віддзеркалювала стан проблеми ураженості різних верств населення патологічною грою</w:t>
      </w:r>
      <w:r w:rsidRPr="004B77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але за даними експертів орієнтовно від 100 до 500 тис осіб можуть мати проблеми з азартними іграми. </w:t>
      </w:r>
    </w:p>
    <w:p w:rsidR="000E6125" w:rsidRDefault="000E6125" w:rsidP="000E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 даними КРАІЛ, до </w:t>
      </w:r>
      <w:r w:rsidRPr="00BC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Реєстру осіб, яким обмежено доступ до гральних закладів та/або участь в азартних іграх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2021 року було включено 195 осіб, протягом тільки січня – лютого 2022 року – 91 особу, що складає 46 % від кількості осіб за весь 2021 рік.</w:t>
      </w:r>
    </w:p>
    <w:p w:rsidR="00120536" w:rsidRPr="00120536" w:rsidRDefault="00373306" w:rsidP="0012053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733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Необхідність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прийняття проєкту рішення</w:t>
      </w:r>
      <w:r w:rsidRPr="003733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обумовлена, передусім, </w:t>
      </w:r>
      <w:r w:rsidR="00726372">
        <w:rPr>
          <w:rFonts w:ascii="Times New Roman" w:hAnsi="Times New Roman" w:cs="Times New Roman"/>
          <w:sz w:val="28"/>
          <w:szCs w:val="28"/>
          <w:lang w:val="uk-UA" w:eastAsia="uk-UA"/>
        </w:rPr>
        <w:t>його</w:t>
      </w:r>
      <w:r w:rsidRPr="003733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важливістю для мінімізації негативного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впливу азартних ігор та </w:t>
      </w:r>
      <w:r w:rsidRPr="003733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вжиття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організаторами азартних ігор </w:t>
      </w:r>
      <w:r w:rsidRPr="00373306">
        <w:rPr>
          <w:rFonts w:ascii="Times New Roman" w:hAnsi="Times New Roman" w:cs="Times New Roman"/>
          <w:sz w:val="28"/>
          <w:szCs w:val="28"/>
          <w:lang w:val="uk-UA" w:eastAsia="uk-UA"/>
        </w:rPr>
        <w:t>дієвих заходів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3733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пов’язаних</w:t>
      </w:r>
      <w:r w:rsidR="007263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</w:t>
      </w:r>
      <w:r w:rsidRPr="003733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недопущенням до гри осіб, які можуть страждати на ігрову залежність (</w:t>
      </w:r>
      <w:proofErr w:type="spellStart"/>
      <w:r w:rsidRPr="00373306">
        <w:rPr>
          <w:rFonts w:ascii="Times New Roman" w:hAnsi="Times New Roman" w:cs="Times New Roman"/>
          <w:sz w:val="28"/>
          <w:szCs w:val="28"/>
          <w:lang w:val="uk-UA" w:eastAsia="uk-UA"/>
        </w:rPr>
        <w:t>лудоманію</w:t>
      </w:r>
      <w:proofErr w:type="spellEnd"/>
      <w:r w:rsidRPr="00373306">
        <w:rPr>
          <w:rFonts w:ascii="Times New Roman" w:hAnsi="Times New Roman" w:cs="Times New Roman"/>
          <w:sz w:val="28"/>
          <w:szCs w:val="28"/>
          <w:lang w:val="uk-UA" w:eastAsia="uk-UA"/>
        </w:rPr>
        <w:t>) чи мати схильність до ігрової залежності (лудоманії), або стосовно яких наявні обмеження відповідно до Закону України «Про державне регулювання діяльності щодо організації та проведення азартних ігор».</w:t>
      </w:r>
    </w:p>
    <w:p w:rsidR="00373306" w:rsidRPr="00E36F8A" w:rsidRDefault="00373306" w:rsidP="0037330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</w:t>
      </w:r>
      <w:r w:rsidRPr="00E36F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роєктом </w:t>
      </w:r>
      <w:r w:rsidRPr="00E36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Pr="00E36F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визначається механізм реалізації принципу відповідальної гри (</w:t>
      </w:r>
      <w:r w:rsidRPr="00E36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гравця в участі в азартних іграх</w:t>
      </w:r>
      <w:r w:rsidRPr="00E36F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шляхом визначення випадків та способів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недопуску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організаторами азартних ігор</w:t>
      </w:r>
      <w:r w:rsidRPr="00E36F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осіб, яким обмежено доступ до участі в азартних іграх, та осіб, у яких виражена ігрова залежність (лудоманія)</w:t>
      </w:r>
      <w:r w:rsidRPr="003733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36F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участі в азартних іграх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3306" w:rsidRPr="00E36F8A" w:rsidRDefault="00373306" w:rsidP="0037330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6F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Зокрема, проєктом рішення передбачається, що до участі в азартних іграх не допускаються особи:</w:t>
      </w:r>
    </w:p>
    <w:p w:rsidR="00373306" w:rsidRPr="00506879" w:rsidRDefault="00373306" w:rsidP="00373306">
      <w:pPr>
        <w:pStyle w:val="a8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06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відносно яких в Реєстрі осіб, яким обмежено доступ до гральних закладів та/або участь в азартних іграх міститься інформація про обмеження доступу до гральних закладів та/або участі в азартних іграх, яка  є актуальною на дату проведення ідентифікації (верифікації);</w:t>
      </w:r>
    </w:p>
    <w:p w:rsidR="00373306" w:rsidRPr="00506879" w:rsidRDefault="00373306" w:rsidP="00373306">
      <w:pPr>
        <w:pStyle w:val="a8"/>
        <w:numPr>
          <w:ilvl w:val="0"/>
          <w:numId w:val="17"/>
        </w:numPr>
        <w:spacing w:after="0" w:line="240" w:lineRule="auto"/>
        <w:ind w:left="0" w:right="-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06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вираженою ігровою залежністю (лудоманією). </w:t>
      </w:r>
    </w:p>
    <w:p w:rsidR="00BE5D48" w:rsidRPr="00B80D26" w:rsidRDefault="002333F5" w:rsidP="00B80D26">
      <w:pPr>
        <w:pStyle w:val="2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BE5D48" w:rsidRPr="00B80D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ідсутність механізму </w:t>
      </w:r>
      <w:r w:rsidR="00B80D26" w:rsidRPr="00B80D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обмеження гравця в участі в азартних іграх, зокрема, шляхом прийняття проєкту рішення</w:t>
      </w:r>
      <w:r w:rsidR="00B80D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BE5D48" w:rsidRPr="00B8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 до підвищення рівня ігрової залежності (лудоманії) серед населення.</w:t>
      </w:r>
    </w:p>
    <w:p w:rsidR="00E67368" w:rsidRDefault="00E67368" w:rsidP="00B80D2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1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викладене вище, виникла необхідність у розробленні проєкту рішення.</w:t>
      </w:r>
    </w:p>
    <w:p w:rsidR="00E61F21" w:rsidRPr="00F25090" w:rsidRDefault="00E61F21" w:rsidP="00E61F2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Дія регуляторного акта поширюватиметься на 49 організаторів азартних ігор, якими станом на 01.06.2022</w:t>
      </w:r>
      <w:r w:rsidRPr="00F250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отримано ліцензії</w:t>
      </w:r>
      <w:r w:rsidRPr="00F250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організацію та проведення азартних ігор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F25090">
        <w:rPr>
          <w:rFonts w:ascii="Times New Roman" w:hAnsi="Times New Roman" w:cs="Times New Roman"/>
          <w:sz w:val="28"/>
          <w:szCs w:val="28"/>
          <w:lang w:val="uk-UA" w:eastAsia="uk-UA"/>
        </w:rPr>
        <w:t>З них:</w:t>
      </w:r>
    </w:p>
    <w:p w:rsidR="00E61F21" w:rsidRPr="00F25090" w:rsidRDefault="00E61F21" w:rsidP="00E61F21">
      <w:pPr>
        <w:pStyle w:val="a8"/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на</w:t>
      </w:r>
      <w:r w:rsidRPr="00F250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організацію та проведення азартних ігор у гральних закладах казино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8</w:t>
      </w:r>
      <w:r w:rsidRPr="00F250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E61F21" w:rsidRPr="00F25090" w:rsidRDefault="00E61F21" w:rsidP="00E61F21">
      <w:pPr>
        <w:pStyle w:val="a8"/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5090">
        <w:rPr>
          <w:rFonts w:ascii="Times New Roman" w:hAnsi="Times New Roman" w:cs="Times New Roman"/>
          <w:sz w:val="28"/>
          <w:szCs w:val="28"/>
          <w:lang w:val="uk-UA" w:eastAsia="uk-UA"/>
        </w:rPr>
        <w:t>на організацію та проведення азартних ігор казино в мережі Інтернет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15</w:t>
      </w:r>
      <w:r w:rsidRPr="00F250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E61F21" w:rsidRPr="00F25090" w:rsidRDefault="00E61F21" w:rsidP="00E61F21">
      <w:pPr>
        <w:pStyle w:val="a8"/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5090">
        <w:rPr>
          <w:rFonts w:ascii="Times New Roman" w:hAnsi="Times New Roman" w:cs="Times New Roman"/>
          <w:sz w:val="28"/>
          <w:szCs w:val="28"/>
          <w:lang w:val="uk-UA" w:eastAsia="uk-UA"/>
        </w:rPr>
        <w:t>на організацію та проведення букмекерської діяльності в букмекерських пунктах та в мережі Інтернет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4</w:t>
      </w:r>
      <w:r w:rsidRPr="00F250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E61F21" w:rsidRPr="00F25090" w:rsidRDefault="00E61F21" w:rsidP="00E61F21">
      <w:pPr>
        <w:pStyle w:val="a8"/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5090">
        <w:rPr>
          <w:rFonts w:ascii="Times New Roman" w:hAnsi="Times New Roman" w:cs="Times New Roman"/>
          <w:sz w:val="28"/>
          <w:szCs w:val="28"/>
          <w:lang w:val="uk-UA" w:eastAsia="uk-UA"/>
        </w:rPr>
        <w:t>на організацію та проведення азартних ігор у залах гральних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автоматів – 19</w:t>
      </w:r>
      <w:r w:rsidRPr="00F250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E61F21" w:rsidRPr="00F25090" w:rsidRDefault="00E61F21" w:rsidP="00E61F21">
      <w:pPr>
        <w:pStyle w:val="a8"/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5090">
        <w:rPr>
          <w:rFonts w:ascii="Times New Roman" w:hAnsi="Times New Roman" w:cs="Times New Roman"/>
          <w:sz w:val="28"/>
          <w:szCs w:val="28"/>
          <w:lang w:val="uk-UA" w:eastAsia="uk-UA"/>
        </w:rPr>
        <w:t>на організацію та проведення азартних ігор в покер в мережі Інтернет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3</w:t>
      </w:r>
      <w:r w:rsidRPr="00F25090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253E6" w:rsidRPr="00F712D5" w:rsidRDefault="007253E6" w:rsidP="007253E6">
      <w:pPr>
        <w:pStyle w:val="rvps2"/>
        <w:shd w:val="clear" w:color="auto" w:fill="FFFFFF"/>
        <w:tabs>
          <w:tab w:val="left" w:pos="5790"/>
        </w:tabs>
        <w:spacing w:before="0" w:after="0" w:line="20" w:lineRule="atLeast"/>
        <w:ind w:firstLine="450"/>
        <w:contextualSpacing/>
        <w:jc w:val="both"/>
        <w:rPr>
          <w:sz w:val="28"/>
          <w:szCs w:val="28"/>
          <w:lang w:eastAsia="ru-RU"/>
        </w:rPr>
      </w:pPr>
      <w:r w:rsidRPr="00F712D5">
        <w:rPr>
          <w:sz w:val="28"/>
          <w:szCs w:val="28"/>
          <w:lang w:eastAsia="ru-RU"/>
        </w:rPr>
        <w:t xml:space="preserve">Основні групи, на які справлятиме вплив проєкт </w:t>
      </w:r>
      <w:r w:rsidR="00EA386E" w:rsidRPr="00F712D5">
        <w:rPr>
          <w:sz w:val="28"/>
          <w:szCs w:val="28"/>
          <w:lang w:eastAsia="ru-RU"/>
        </w:rPr>
        <w:t>рішення</w:t>
      </w:r>
      <w:r w:rsidRPr="00F712D5">
        <w:rPr>
          <w:sz w:val="28"/>
          <w:szCs w:val="28"/>
          <w:lang w:eastAsia="ru-RU"/>
        </w:rPr>
        <w:t xml:space="preserve">: </w:t>
      </w:r>
    </w:p>
    <w:p w:rsidR="007253E6" w:rsidRPr="0018714A" w:rsidRDefault="007253E6" w:rsidP="007253E6">
      <w:pPr>
        <w:pStyle w:val="rvps2"/>
        <w:shd w:val="clear" w:color="auto" w:fill="FFFFFF"/>
        <w:tabs>
          <w:tab w:val="left" w:pos="5790"/>
        </w:tabs>
        <w:spacing w:before="0" w:after="0" w:line="20" w:lineRule="atLeast"/>
        <w:ind w:firstLine="450"/>
        <w:contextualSpacing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2"/>
        <w:gridCol w:w="2833"/>
        <w:gridCol w:w="2443"/>
      </w:tblGrid>
      <w:tr w:rsidR="007253E6" w:rsidRPr="00F712D5" w:rsidTr="00623B32">
        <w:tc>
          <w:tcPr>
            <w:tcW w:w="4580" w:type="dxa"/>
            <w:shd w:val="clear" w:color="auto" w:fill="auto"/>
          </w:tcPr>
          <w:p w:rsidR="007253E6" w:rsidRPr="00F712D5" w:rsidRDefault="007253E6" w:rsidP="00623B3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12" w:name="n95"/>
            <w:bookmarkEnd w:id="12"/>
            <w:r w:rsidRPr="00F712D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Групи (підгрупи)</w:t>
            </w:r>
          </w:p>
        </w:tc>
        <w:tc>
          <w:tcPr>
            <w:tcW w:w="2953" w:type="dxa"/>
            <w:shd w:val="clear" w:color="auto" w:fill="auto"/>
          </w:tcPr>
          <w:p w:rsidR="007253E6" w:rsidRPr="00F712D5" w:rsidRDefault="007253E6" w:rsidP="00623B3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2547" w:type="dxa"/>
            <w:shd w:val="clear" w:color="auto" w:fill="auto"/>
          </w:tcPr>
          <w:p w:rsidR="007253E6" w:rsidRPr="00F712D5" w:rsidRDefault="007253E6" w:rsidP="00623B3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Ні</w:t>
            </w:r>
          </w:p>
        </w:tc>
      </w:tr>
      <w:tr w:rsidR="007253E6" w:rsidRPr="00F712D5" w:rsidTr="00623B32">
        <w:tc>
          <w:tcPr>
            <w:tcW w:w="4580" w:type="dxa"/>
            <w:shd w:val="clear" w:color="auto" w:fill="auto"/>
          </w:tcPr>
          <w:p w:rsidR="007253E6" w:rsidRPr="00F712D5" w:rsidRDefault="007253E6" w:rsidP="00623B32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Громадяни</w:t>
            </w:r>
          </w:p>
        </w:tc>
        <w:tc>
          <w:tcPr>
            <w:tcW w:w="2953" w:type="dxa"/>
            <w:shd w:val="clear" w:color="auto" w:fill="auto"/>
          </w:tcPr>
          <w:p w:rsidR="007253E6" w:rsidRPr="00F712D5" w:rsidRDefault="006B5E8D" w:rsidP="00623B32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47" w:type="dxa"/>
            <w:shd w:val="clear" w:color="auto" w:fill="auto"/>
          </w:tcPr>
          <w:p w:rsidR="007253E6" w:rsidRPr="00F712D5" w:rsidRDefault="007253E6" w:rsidP="00623B3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53E6" w:rsidRPr="00F712D5" w:rsidTr="00623B32">
        <w:tc>
          <w:tcPr>
            <w:tcW w:w="4580" w:type="dxa"/>
            <w:shd w:val="clear" w:color="auto" w:fill="auto"/>
          </w:tcPr>
          <w:p w:rsidR="007253E6" w:rsidRPr="00F712D5" w:rsidRDefault="007253E6" w:rsidP="00623B32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Держава</w:t>
            </w:r>
          </w:p>
        </w:tc>
        <w:tc>
          <w:tcPr>
            <w:tcW w:w="2953" w:type="dxa"/>
            <w:shd w:val="clear" w:color="auto" w:fill="auto"/>
          </w:tcPr>
          <w:p w:rsidR="007253E6" w:rsidRPr="00F712D5" w:rsidRDefault="007253E6" w:rsidP="00623B32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47" w:type="dxa"/>
            <w:shd w:val="clear" w:color="auto" w:fill="auto"/>
          </w:tcPr>
          <w:p w:rsidR="007253E6" w:rsidRPr="00F712D5" w:rsidRDefault="007253E6" w:rsidP="00623B3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53E6" w:rsidRPr="00F712D5" w:rsidTr="00623B32">
        <w:trPr>
          <w:trHeight w:val="184"/>
        </w:trPr>
        <w:tc>
          <w:tcPr>
            <w:tcW w:w="4580" w:type="dxa"/>
            <w:shd w:val="clear" w:color="auto" w:fill="auto"/>
          </w:tcPr>
          <w:p w:rsidR="007253E6" w:rsidRPr="00F712D5" w:rsidRDefault="007253E6" w:rsidP="00623B32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Суб’єкти господарювання</w:t>
            </w:r>
          </w:p>
        </w:tc>
        <w:tc>
          <w:tcPr>
            <w:tcW w:w="2953" w:type="dxa"/>
            <w:shd w:val="clear" w:color="auto" w:fill="auto"/>
          </w:tcPr>
          <w:p w:rsidR="007253E6" w:rsidRPr="00F712D5" w:rsidRDefault="007253E6" w:rsidP="00623B32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47" w:type="dxa"/>
            <w:shd w:val="clear" w:color="auto" w:fill="auto"/>
          </w:tcPr>
          <w:p w:rsidR="007253E6" w:rsidRPr="00F712D5" w:rsidRDefault="007253E6" w:rsidP="00623B3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53E6" w:rsidRPr="00F712D5" w:rsidTr="00623B32">
        <w:tc>
          <w:tcPr>
            <w:tcW w:w="4580" w:type="dxa"/>
            <w:shd w:val="clear" w:color="auto" w:fill="auto"/>
          </w:tcPr>
          <w:p w:rsidR="007253E6" w:rsidRPr="00F712D5" w:rsidRDefault="007253E6" w:rsidP="00E61F21">
            <w:pPr>
              <w:spacing w:after="0" w:line="20" w:lineRule="atLeast"/>
              <w:ind w:left="142" w:right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96"/>
            <w:bookmarkEnd w:id="13"/>
            <w:r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тому числі суб’єкти малого підприємництва </w:t>
            </w:r>
          </w:p>
        </w:tc>
        <w:tc>
          <w:tcPr>
            <w:tcW w:w="2953" w:type="dxa"/>
            <w:shd w:val="clear" w:color="auto" w:fill="auto"/>
          </w:tcPr>
          <w:p w:rsidR="007253E6" w:rsidRPr="00F712D5" w:rsidRDefault="007253E6" w:rsidP="00623B32">
            <w:pPr>
              <w:tabs>
                <w:tab w:val="center" w:pos="368"/>
              </w:tabs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7" w:type="dxa"/>
            <w:shd w:val="clear" w:color="auto" w:fill="auto"/>
          </w:tcPr>
          <w:p w:rsidR="007253E6" w:rsidRPr="00F712D5" w:rsidRDefault="007253E6" w:rsidP="00623B3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A6D15" w:rsidRPr="00E61F21" w:rsidRDefault="00AA6D15" w:rsidP="002331A8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331A8" w:rsidRPr="00F712D5" w:rsidRDefault="007253E6" w:rsidP="002331A8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12D5">
        <w:rPr>
          <w:rFonts w:ascii="Times New Roman" w:hAnsi="Times New Roman" w:cs="Times New Roman"/>
          <w:sz w:val="28"/>
          <w:szCs w:val="28"/>
          <w:lang w:val="uk-UA"/>
        </w:rPr>
        <w:t xml:space="preserve">Проблема не може бути розв’язана за допомогою ринкових механізмів, оскільки відповідно до положень Закону </w:t>
      </w:r>
      <w:r w:rsidR="002331A8" w:rsidRPr="00F71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організатори азартних ігор зобов’язані дотримуватися принципів відповідальної гри, зокрема, у випадках та порядку, встановлених </w:t>
      </w:r>
      <w:r w:rsidR="002331A8">
        <w:rPr>
          <w:rFonts w:ascii="Times New Roman" w:hAnsi="Times New Roman" w:cs="Times New Roman"/>
          <w:sz w:val="28"/>
          <w:szCs w:val="28"/>
          <w:lang w:val="uk-UA"/>
        </w:rPr>
        <w:t>КРАІЛ</w:t>
      </w:r>
      <w:r w:rsidR="002331A8" w:rsidRPr="00F71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 допускати до участі в азартних іграх осіб, яким  </w:t>
      </w:r>
      <w:r w:rsidR="002331A8" w:rsidRPr="00F71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обмежено доступ до участі в азартних іграх, та осіб, у яких виражена ігрова залежність (лудоманія). </w:t>
      </w:r>
    </w:p>
    <w:p w:rsidR="007253E6" w:rsidRPr="00F712D5" w:rsidRDefault="007253E6" w:rsidP="007253E6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1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Діючі нормативно-правові акти, які встановлюють </w:t>
      </w:r>
      <w:r w:rsidR="00D27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випадки</w:t>
      </w:r>
      <w:r w:rsidR="00D2739E" w:rsidRPr="00F71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</w:t>
      </w:r>
      <w:r w:rsidR="004C1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D2739E" w:rsidRPr="00F71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к, </w:t>
      </w:r>
      <w:proofErr w:type="spellStart"/>
      <w:r w:rsidR="00D2739E" w:rsidRPr="00F71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недопус</w:t>
      </w:r>
      <w:r w:rsidR="004A1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D27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D2739E" w:rsidRPr="00F71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участі в азартних іграх осіб, яким  обмежено доступ до участі в азартних іграх, та осіб, у яких виражена ігрова залежність (лудоманія</w:t>
      </w:r>
      <w:r w:rsidR="00D27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7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2739E" w:rsidRPr="00F71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712D5">
        <w:rPr>
          <w:rFonts w:ascii="Times New Roman" w:hAnsi="Times New Roman" w:cs="Times New Roman"/>
          <w:sz w:val="28"/>
          <w:szCs w:val="28"/>
          <w:lang w:val="uk-UA" w:eastAsia="uk-UA"/>
        </w:rPr>
        <w:t>відсутні.</w:t>
      </w:r>
    </w:p>
    <w:p w:rsidR="0097109D" w:rsidRDefault="0097109D" w:rsidP="007253E6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14" w:name="n99"/>
      <w:bookmarkEnd w:id="14"/>
    </w:p>
    <w:p w:rsidR="007253E6" w:rsidRPr="00F712D5" w:rsidRDefault="007253E6" w:rsidP="007253E6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12D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II. Цілі державного регулювання</w:t>
      </w:r>
    </w:p>
    <w:p w:rsidR="007253E6" w:rsidRDefault="007253E6" w:rsidP="007253E6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n101"/>
      <w:bookmarkStart w:id="16" w:name="n100"/>
      <w:bookmarkEnd w:id="15"/>
      <w:bookmarkEnd w:id="16"/>
      <w:r w:rsidRPr="00F712D5">
        <w:rPr>
          <w:rFonts w:ascii="Times New Roman" w:hAnsi="Times New Roman" w:cs="Times New Roman"/>
          <w:sz w:val="28"/>
          <w:szCs w:val="28"/>
          <w:lang w:val="uk-UA"/>
        </w:rPr>
        <w:t xml:space="preserve">Цілями державного регулювання проєкту </w:t>
      </w:r>
      <w:r w:rsidR="00155C5C" w:rsidRPr="00F712D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F712D5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EF30A9" w:rsidRPr="004C1790" w:rsidRDefault="00642749" w:rsidP="004C1790">
      <w:pPr>
        <w:pStyle w:val="a8"/>
        <w:numPr>
          <w:ilvl w:val="0"/>
          <w:numId w:val="13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7253E6" w:rsidRPr="004C1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 організаторами аз</w:t>
      </w:r>
      <w:r w:rsidR="00523DD9" w:rsidRPr="004C1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артних ігор вимог</w:t>
      </w:r>
      <w:r w:rsidRPr="004C1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</w:t>
      </w:r>
      <w:r w:rsidR="00DC1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принципів відповідальної гри;</w:t>
      </w:r>
    </w:p>
    <w:p w:rsidR="00B80D26" w:rsidRPr="00B80D26" w:rsidRDefault="00B80D26" w:rsidP="00B80D26">
      <w:pPr>
        <w:pStyle w:val="2"/>
        <w:numPr>
          <w:ilvl w:val="0"/>
          <w:numId w:val="13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font347"/>
          <w:kern w:val="0"/>
          <w:sz w:val="28"/>
          <w:szCs w:val="28"/>
          <w:lang w:eastAsia="ru-RU" w:bidi="ar-SA"/>
        </w:rPr>
      </w:pPr>
      <w:bookmarkStart w:id="17" w:name="n1977"/>
      <w:bookmarkStart w:id="18" w:name="n1978"/>
      <w:bookmarkEnd w:id="17"/>
      <w:bookmarkEnd w:id="18"/>
      <w:r>
        <w:rPr>
          <w:rFonts w:ascii="Times New Roman" w:eastAsia="Calibri" w:hAnsi="Times New Roman" w:cs="font347"/>
          <w:kern w:val="0"/>
          <w:sz w:val="28"/>
          <w:szCs w:val="28"/>
          <w:lang w:eastAsia="ru-RU" w:bidi="ar-SA"/>
        </w:rPr>
        <w:t xml:space="preserve">визначення </w:t>
      </w:r>
      <w:r w:rsidRPr="00B80D26">
        <w:rPr>
          <w:rFonts w:ascii="Times New Roman" w:eastAsia="Calibri" w:hAnsi="Times New Roman" w:cs="font347"/>
          <w:kern w:val="0"/>
          <w:sz w:val="28"/>
          <w:szCs w:val="28"/>
          <w:lang w:eastAsia="ru-RU" w:bidi="ar-SA"/>
        </w:rPr>
        <w:t>механізм</w:t>
      </w:r>
      <w:r>
        <w:rPr>
          <w:rFonts w:ascii="Times New Roman" w:eastAsia="Calibri" w:hAnsi="Times New Roman" w:cs="font347"/>
          <w:kern w:val="0"/>
          <w:sz w:val="28"/>
          <w:szCs w:val="28"/>
          <w:lang w:eastAsia="ru-RU" w:bidi="ar-SA"/>
        </w:rPr>
        <w:t>у</w:t>
      </w:r>
      <w:r w:rsidRPr="00B80D26">
        <w:rPr>
          <w:rFonts w:ascii="Times New Roman" w:eastAsia="Calibri" w:hAnsi="Times New Roman" w:cs="font347"/>
          <w:kern w:val="0"/>
          <w:sz w:val="28"/>
          <w:szCs w:val="28"/>
          <w:lang w:eastAsia="ru-RU" w:bidi="ar-SA"/>
        </w:rPr>
        <w:t xml:space="preserve"> обмеження гравця в участі в азартних іграх шляхом визначення випадків та способів </w:t>
      </w:r>
      <w:proofErr w:type="spellStart"/>
      <w:r w:rsidRPr="00B80D26">
        <w:rPr>
          <w:rFonts w:ascii="Times New Roman" w:eastAsia="Calibri" w:hAnsi="Times New Roman" w:cs="font347"/>
          <w:kern w:val="0"/>
          <w:sz w:val="28"/>
          <w:szCs w:val="28"/>
          <w:lang w:eastAsia="ru-RU" w:bidi="ar-SA"/>
        </w:rPr>
        <w:t>недопуску</w:t>
      </w:r>
      <w:proofErr w:type="spellEnd"/>
      <w:r w:rsidRPr="00B80D26">
        <w:rPr>
          <w:rFonts w:ascii="Times New Roman" w:eastAsia="Calibri" w:hAnsi="Times New Roman" w:cs="font347"/>
          <w:kern w:val="0"/>
          <w:sz w:val="28"/>
          <w:szCs w:val="28"/>
          <w:lang w:eastAsia="ru-RU" w:bidi="ar-SA"/>
        </w:rPr>
        <w:t xml:space="preserve"> до участі в азартних іграх осіб, яким обмежено доступ до участі в азартних іграх, та осіб, у яких виражена ігрова залежність (лудоманія);</w:t>
      </w:r>
    </w:p>
    <w:p w:rsidR="00DC1801" w:rsidRPr="00DC1801" w:rsidRDefault="00DC1801" w:rsidP="00DC1801">
      <w:pPr>
        <w:pStyle w:val="a8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801">
        <w:rPr>
          <w:rFonts w:ascii="Times New Roman" w:hAnsi="Times New Roman"/>
          <w:sz w:val="28"/>
          <w:szCs w:val="28"/>
          <w:lang w:val="uk-UA" w:eastAsia="ru-RU"/>
        </w:rPr>
        <w:t>мінімізаці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DC1801">
        <w:rPr>
          <w:rFonts w:ascii="Times New Roman" w:hAnsi="Times New Roman"/>
          <w:sz w:val="28"/>
          <w:szCs w:val="28"/>
          <w:lang w:val="uk-UA" w:eastAsia="ru-RU"/>
        </w:rPr>
        <w:t xml:space="preserve"> негативних наслідків участі фізичної особи в азартній грі, створення умов для зниження соціальних ризиків, пов’язаних з організацією та проведенням азартних ігор, боротьб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DC1801">
        <w:rPr>
          <w:rFonts w:ascii="Times New Roman" w:hAnsi="Times New Roman"/>
          <w:sz w:val="28"/>
          <w:szCs w:val="28"/>
          <w:lang w:val="uk-UA" w:eastAsia="ru-RU"/>
        </w:rPr>
        <w:t xml:space="preserve"> з вираженою ігровою залежністю (лудоманією).</w:t>
      </w:r>
    </w:p>
    <w:p w:rsidR="00DC1801" w:rsidRPr="00F712D5" w:rsidRDefault="00DC1801" w:rsidP="00DC1801">
      <w:pPr>
        <w:pStyle w:val="2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E6" w:rsidRPr="00F712D5" w:rsidRDefault="007253E6" w:rsidP="007253E6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12D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III. Визначення та оцінка альтернативних способів досягнення цілей</w:t>
      </w:r>
      <w:bookmarkStart w:id="19" w:name="n151"/>
      <w:bookmarkStart w:id="20" w:name="n102"/>
      <w:bookmarkEnd w:id="19"/>
      <w:bookmarkEnd w:id="20"/>
    </w:p>
    <w:p w:rsidR="007253E6" w:rsidRPr="006B054C" w:rsidRDefault="007253E6" w:rsidP="007253E6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sz w:val="12"/>
          <w:szCs w:val="12"/>
        </w:rPr>
      </w:pPr>
      <w:r w:rsidRPr="00F712D5">
        <w:rPr>
          <w:sz w:val="28"/>
          <w:szCs w:val="28"/>
          <w:lang w:eastAsia="ru-RU"/>
        </w:rPr>
        <w:t xml:space="preserve"> </w:t>
      </w:r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7"/>
        <w:gridCol w:w="7087"/>
      </w:tblGrid>
      <w:tr w:rsidR="007253E6" w:rsidRPr="00F712D5" w:rsidTr="00C42DC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CE" w:rsidRDefault="007253E6" w:rsidP="00C42DCE">
            <w:pPr>
              <w:spacing w:after="0" w:line="20" w:lineRule="atLeast"/>
              <w:ind w:right="1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712D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Вид </w:t>
            </w:r>
          </w:p>
          <w:p w:rsidR="007253E6" w:rsidRPr="00F712D5" w:rsidRDefault="007253E6" w:rsidP="00C42DCE">
            <w:pPr>
              <w:spacing w:after="0" w:line="20" w:lineRule="atLeast"/>
              <w:ind w:right="1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альтернативи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F712D5" w:rsidRDefault="007253E6" w:rsidP="00623B3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Опис альтернативи</w:t>
            </w:r>
          </w:p>
        </w:tc>
      </w:tr>
      <w:tr w:rsidR="007253E6" w:rsidRPr="00C62B4D" w:rsidTr="00C42DC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F712D5" w:rsidRDefault="007253E6" w:rsidP="00C42DCE">
            <w:pPr>
              <w:spacing w:after="0" w:line="20" w:lineRule="atLeast"/>
              <w:ind w:left="142" w:right="1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Альтернатива 1</w:t>
            </w:r>
          </w:p>
          <w:p w:rsidR="007253E6" w:rsidRPr="00F712D5" w:rsidRDefault="007253E6" w:rsidP="00C42DCE">
            <w:pPr>
              <w:spacing w:after="0" w:line="20" w:lineRule="atLeast"/>
              <w:ind w:left="142" w:righ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F712D5" w:rsidRDefault="007253E6" w:rsidP="006B054C">
            <w:pPr>
              <w:spacing w:after="0" w:line="20" w:lineRule="atLeast"/>
              <w:ind w:left="127" w:right="157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Залишення ситуації без змін. </w:t>
            </w:r>
            <w:r w:rsidRPr="00F71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C1790" w:rsidRPr="00F712D5" w:rsidRDefault="0086712C" w:rsidP="006B054C">
            <w:pPr>
              <w:spacing w:after="0" w:line="240" w:lineRule="auto"/>
              <w:ind w:left="127" w:right="12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</w:t>
            </w:r>
            <w:r w:rsidR="004C1790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</w:t>
            </w:r>
            <w:r w:rsidR="004C17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4C1790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 частини другої статті 16 Закону </w:t>
            </w:r>
            <w:r w:rsidRPr="00F71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1790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організатори азартних ігор зобов’язані дотримуватися принципів відповідальної гри, зокрема, у випадках та порядку, встановлених </w:t>
            </w:r>
            <w:r w:rsidR="004C1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КРАІЛ</w:t>
            </w:r>
            <w:r w:rsidR="004C1790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не допускати до участі в азартних іграх осіб, яким  обмежено доступ до участі в азартних іграх, та осіб, у яких виражена ігрова залежність (лудоманія). </w:t>
            </w:r>
          </w:p>
          <w:p w:rsidR="007253E6" w:rsidRPr="00F712D5" w:rsidRDefault="007253E6" w:rsidP="006B054C">
            <w:pPr>
              <w:pStyle w:val="tj"/>
              <w:shd w:val="clear" w:color="auto" w:fill="FFFFFF"/>
              <w:spacing w:before="0" w:after="0" w:line="20" w:lineRule="atLeast"/>
              <w:ind w:left="127" w:right="157" w:firstLine="28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712D5">
              <w:rPr>
                <w:sz w:val="28"/>
                <w:szCs w:val="28"/>
                <w:lang w:val="uk-UA"/>
              </w:rPr>
              <w:t xml:space="preserve">Відсутність нормативно-правового акта, який визначає </w:t>
            </w:r>
            <w:r w:rsidR="004C1790">
              <w:rPr>
                <w:sz w:val="28"/>
                <w:szCs w:val="28"/>
                <w:lang w:val="uk-UA"/>
              </w:rPr>
              <w:t>випадки</w:t>
            </w:r>
            <w:r w:rsidR="004C1790" w:rsidRPr="00F712D5">
              <w:rPr>
                <w:sz w:val="28"/>
                <w:szCs w:val="28"/>
                <w:lang w:val="uk-UA"/>
              </w:rPr>
              <w:t xml:space="preserve"> та поряд</w:t>
            </w:r>
            <w:r w:rsidR="004C1790">
              <w:rPr>
                <w:sz w:val="28"/>
                <w:szCs w:val="28"/>
                <w:lang w:val="uk-UA"/>
              </w:rPr>
              <w:t>о</w:t>
            </w:r>
            <w:r w:rsidR="004C1790" w:rsidRPr="00F712D5">
              <w:rPr>
                <w:sz w:val="28"/>
                <w:szCs w:val="28"/>
                <w:lang w:val="uk-UA"/>
              </w:rPr>
              <w:t xml:space="preserve">к </w:t>
            </w:r>
            <w:proofErr w:type="spellStart"/>
            <w:r w:rsidR="004C1790" w:rsidRPr="00F712D5">
              <w:rPr>
                <w:sz w:val="28"/>
                <w:szCs w:val="28"/>
                <w:lang w:val="uk-UA"/>
              </w:rPr>
              <w:t>недопус</w:t>
            </w:r>
            <w:r w:rsidR="00D86EAC">
              <w:rPr>
                <w:sz w:val="28"/>
                <w:szCs w:val="28"/>
                <w:lang w:val="uk-UA"/>
              </w:rPr>
              <w:t>к</w:t>
            </w:r>
            <w:r w:rsidR="004C1790">
              <w:rPr>
                <w:sz w:val="28"/>
                <w:szCs w:val="28"/>
                <w:lang w:val="uk-UA"/>
              </w:rPr>
              <w:t>у</w:t>
            </w:r>
            <w:proofErr w:type="spellEnd"/>
            <w:r w:rsidR="004C1790" w:rsidRPr="00F712D5">
              <w:rPr>
                <w:sz w:val="28"/>
                <w:szCs w:val="28"/>
                <w:lang w:val="uk-UA"/>
              </w:rPr>
              <w:t xml:space="preserve"> до участі в азартних іграх осіб, яким  обмежено доступ до участі в азартних іграх, та осіб, у яких виражена ігрова залежність (лудоманія</w:t>
            </w:r>
            <w:r w:rsidR="004C1790">
              <w:rPr>
                <w:sz w:val="28"/>
                <w:szCs w:val="28"/>
                <w:lang w:val="uk-UA"/>
              </w:rPr>
              <w:t>)</w:t>
            </w:r>
            <w:r w:rsidR="006B054C">
              <w:rPr>
                <w:sz w:val="28"/>
                <w:szCs w:val="28"/>
                <w:lang w:val="uk-UA"/>
              </w:rPr>
              <w:t>,</w:t>
            </w:r>
            <w:r w:rsidR="004C1790" w:rsidRPr="00F712D5">
              <w:rPr>
                <w:sz w:val="28"/>
                <w:szCs w:val="28"/>
                <w:lang w:val="uk-UA" w:eastAsia="uk-UA"/>
              </w:rPr>
              <w:t xml:space="preserve"> </w:t>
            </w:r>
            <w:r w:rsidRPr="00F712D5">
              <w:rPr>
                <w:sz w:val="28"/>
                <w:szCs w:val="28"/>
                <w:lang w:val="uk-UA"/>
              </w:rPr>
              <w:t xml:space="preserve">унеможливлює </w:t>
            </w:r>
            <w:r w:rsidR="003D78B8">
              <w:rPr>
                <w:sz w:val="28"/>
                <w:szCs w:val="28"/>
                <w:lang w:val="uk-UA"/>
              </w:rPr>
              <w:t xml:space="preserve">дотримання такого принципу відповідальної гри як </w:t>
            </w:r>
            <w:r w:rsidR="003D78B8" w:rsidRPr="00F712D5">
              <w:rPr>
                <w:sz w:val="28"/>
                <w:szCs w:val="28"/>
                <w:lang w:val="uk-UA"/>
              </w:rPr>
              <w:t>обмеження гравця в участі в азартних іграх</w:t>
            </w:r>
            <w:r w:rsidR="003D78B8">
              <w:rPr>
                <w:sz w:val="28"/>
                <w:szCs w:val="28"/>
                <w:lang w:val="uk-UA"/>
              </w:rPr>
              <w:t>,</w:t>
            </w:r>
            <w:r w:rsidR="003D78B8" w:rsidRPr="005D6A1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C1790" w:rsidRPr="005D6A11">
              <w:rPr>
                <w:color w:val="000000"/>
                <w:sz w:val="28"/>
                <w:szCs w:val="28"/>
                <w:lang w:val="uk-UA"/>
              </w:rPr>
              <w:t>що</w:t>
            </w:r>
            <w:r w:rsidR="004C1790">
              <w:rPr>
                <w:color w:val="000000"/>
                <w:sz w:val="28"/>
                <w:szCs w:val="28"/>
                <w:lang w:val="uk-UA"/>
              </w:rPr>
              <w:t>,</w:t>
            </w:r>
            <w:r w:rsidR="004C1790" w:rsidRPr="005D6A11">
              <w:rPr>
                <w:color w:val="000000"/>
                <w:sz w:val="28"/>
                <w:szCs w:val="28"/>
                <w:lang w:val="uk-UA"/>
              </w:rPr>
              <w:t xml:space="preserve"> в свою чергу</w:t>
            </w:r>
            <w:r w:rsidR="004C1790">
              <w:rPr>
                <w:color w:val="000000"/>
                <w:sz w:val="28"/>
                <w:szCs w:val="28"/>
                <w:lang w:val="uk-UA"/>
              </w:rPr>
              <w:t>,</w:t>
            </w:r>
            <w:r w:rsidR="004C1790" w:rsidRPr="005D6A11">
              <w:rPr>
                <w:color w:val="000000"/>
                <w:sz w:val="28"/>
                <w:szCs w:val="28"/>
                <w:lang w:val="uk-UA"/>
              </w:rPr>
              <w:t xml:space="preserve"> призв</w:t>
            </w:r>
            <w:r w:rsidR="006B054C">
              <w:rPr>
                <w:color w:val="000000"/>
                <w:sz w:val="28"/>
                <w:szCs w:val="28"/>
                <w:lang w:val="uk-UA"/>
              </w:rPr>
              <w:t>одить</w:t>
            </w:r>
            <w:r w:rsidR="004C1790" w:rsidRPr="005D6A11">
              <w:rPr>
                <w:color w:val="000000"/>
                <w:sz w:val="28"/>
                <w:szCs w:val="28"/>
                <w:lang w:val="uk-UA"/>
              </w:rPr>
              <w:t xml:space="preserve"> до </w:t>
            </w:r>
            <w:r w:rsidR="004C1790" w:rsidRPr="005D6A11">
              <w:rPr>
                <w:color w:val="000000"/>
                <w:sz w:val="28"/>
                <w:szCs w:val="28"/>
                <w:lang w:val="uk-UA" w:eastAsia="uk-UA"/>
              </w:rPr>
              <w:t>не</w:t>
            </w:r>
            <w:r w:rsidR="004C1790" w:rsidRPr="005D6A11">
              <w:rPr>
                <w:sz w:val="28"/>
                <w:szCs w:val="28"/>
                <w:lang w:val="uk-UA"/>
              </w:rPr>
              <w:t xml:space="preserve">захищеності населення від </w:t>
            </w:r>
            <w:r w:rsidR="004C1790">
              <w:rPr>
                <w:sz w:val="28"/>
                <w:szCs w:val="28"/>
                <w:lang w:val="uk-UA"/>
              </w:rPr>
              <w:t>негативного</w:t>
            </w:r>
            <w:r w:rsidR="004C1790" w:rsidRPr="005D6A11">
              <w:rPr>
                <w:sz w:val="28"/>
                <w:szCs w:val="28"/>
                <w:lang w:val="uk-UA"/>
              </w:rPr>
              <w:t xml:space="preserve"> впливу азартних ігор та розповсюдження ігрової залежності (лудоманії).</w:t>
            </w:r>
          </w:p>
        </w:tc>
      </w:tr>
      <w:tr w:rsidR="007253E6" w:rsidRPr="009C772F" w:rsidTr="00C42DC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F712D5" w:rsidRDefault="007253E6" w:rsidP="00C42DCE">
            <w:pPr>
              <w:spacing w:after="0" w:line="20" w:lineRule="atLeast"/>
              <w:ind w:left="142" w:right="1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Альтернатива 2</w:t>
            </w:r>
          </w:p>
          <w:p w:rsidR="007253E6" w:rsidRPr="00F712D5" w:rsidRDefault="007253E6" w:rsidP="00C42DCE">
            <w:pPr>
              <w:spacing w:after="0" w:line="20" w:lineRule="atLeast"/>
              <w:ind w:left="142" w:righ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F712D5" w:rsidRDefault="007253E6" w:rsidP="006B054C">
            <w:pPr>
              <w:spacing w:after="0" w:line="20" w:lineRule="atLeast"/>
              <w:ind w:left="127" w:right="157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Прийняття проєкту </w:t>
            </w:r>
            <w:r w:rsidR="008A6476" w:rsidRPr="00F712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рішення</w:t>
            </w:r>
            <w:r w:rsidRPr="00F71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86EAC" w:rsidRDefault="007253E6" w:rsidP="006B054C">
            <w:pPr>
              <w:spacing w:after="0" w:line="20" w:lineRule="atLeast"/>
              <w:ind w:left="127" w:right="157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запропонованого проєкту </w:t>
            </w:r>
            <w:r w:rsidR="008A6476" w:rsidRPr="00F71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Pr="00F71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необхідне для виконання положень  Закону</w:t>
            </w:r>
            <w:r w:rsidR="005A27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F71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дозволить усунути прогалини нормативно-правового регулювання </w:t>
            </w:r>
            <w:r w:rsidR="00B91AA9"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пов</w:t>
            </w:r>
            <w:r w:rsidR="00B91A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B91AA9"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ою мірою застосувати механізм </w:t>
            </w:r>
            <w:r w:rsidR="00D86EAC" w:rsidRPr="00B80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обмеження гравця в участі в азартних іграх</w:t>
            </w:r>
            <w:r w:rsidR="00D86E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253E6" w:rsidRPr="00F712D5" w:rsidRDefault="007253E6" w:rsidP="00E52453">
            <w:pPr>
              <w:spacing w:after="0" w:line="240" w:lineRule="auto"/>
              <w:ind w:left="127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Проєктом </w:t>
            </w:r>
            <w:r w:rsidR="008A6476" w:rsidRPr="00D86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="00B62C7A" w:rsidRPr="00D86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визначаються </w:t>
            </w:r>
            <w:r w:rsidR="00E92D0F" w:rsidRPr="00D86E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випадки та порядок </w:t>
            </w:r>
            <w:proofErr w:type="spellStart"/>
            <w:r w:rsidR="00E92D0F" w:rsidRPr="00D86E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недопус</w:t>
            </w:r>
            <w:r w:rsidR="00B10AAE" w:rsidRPr="00D86E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E92D0F" w:rsidRPr="00D86E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End"/>
            <w:r w:rsidR="00E92D0F" w:rsidRPr="00D86E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участі в азартних іграх осіб, яким  обмежено доступ до участі в азартних іграх, та осіб, у яких виражена ігрова залежність (лудоманія)</w:t>
            </w:r>
            <w:r w:rsidRPr="00D86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сприятиме </w:t>
            </w:r>
            <w:r w:rsidR="00B91AA9" w:rsidRPr="00D86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дотриманню принципів відповідальної гри організаторами азартних ігор</w:t>
            </w:r>
            <w:r w:rsidR="00B10AAE" w:rsidRPr="00D86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1AA9" w:rsidRPr="00D86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1AA9" w:rsidRPr="00D86E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Положення проєкту рішення також спрямовані на</w:t>
            </w:r>
            <w:r w:rsidR="00B10AAE" w:rsidRPr="00D86EAC">
              <w:rPr>
                <w:color w:val="333333"/>
                <w:shd w:val="clear" w:color="auto" w:fill="FFFFFF"/>
                <w:lang w:val="uk-UA"/>
              </w:rPr>
              <w:t xml:space="preserve">  </w:t>
            </w:r>
            <w:r w:rsidR="00B10AAE" w:rsidRPr="00D86E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попередження та мінімізацію негативних наслідків участі фізичної особи в азартній грі</w:t>
            </w:r>
            <w:r w:rsidR="00D86E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86EAC" w:rsidRPr="00D86E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боротьб</w:t>
            </w:r>
            <w:r w:rsidR="00D86E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="00D86EAC" w:rsidRPr="00D86E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вираженою </w:t>
            </w:r>
            <w:r w:rsidR="00D86E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ігровою залежністю (лудоманією).</w:t>
            </w:r>
            <w:r w:rsidR="00D86EAC" w:rsidRPr="00D86E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202514" w:rsidRDefault="00202514" w:rsidP="007253E6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7253E6" w:rsidRPr="00F712D5" w:rsidRDefault="007253E6" w:rsidP="007253E6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712D5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держави</w:t>
      </w:r>
    </w:p>
    <w:p w:rsidR="007253E6" w:rsidRPr="00F712D5" w:rsidRDefault="007253E6" w:rsidP="007253E6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2"/>
        <w:gridCol w:w="3572"/>
        <w:gridCol w:w="3795"/>
      </w:tblGrid>
      <w:tr w:rsidR="007253E6" w:rsidRPr="00D86EAC" w:rsidTr="002303D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F712D5" w:rsidRDefault="007253E6" w:rsidP="00B953C0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21" w:name="n119"/>
            <w:bookmarkEnd w:id="21"/>
            <w:r w:rsidRPr="00F712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F712D5" w:rsidRDefault="007253E6" w:rsidP="00623B3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F712D5" w:rsidRDefault="007253E6" w:rsidP="00623B3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7253E6" w:rsidRPr="00F712D5" w:rsidTr="002303D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F712D5" w:rsidRDefault="007253E6" w:rsidP="00B953C0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:rsidR="007253E6" w:rsidRPr="00F712D5" w:rsidRDefault="007253E6" w:rsidP="00B953C0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F712D5" w:rsidRDefault="007253E6" w:rsidP="00580AAD">
            <w:pPr>
              <w:spacing w:after="0" w:line="20" w:lineRule="atLeast"/>
              <w:ind w:left="138" w:firstLine="142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  <w:p w:rsidR="00965BD4" w:rsidRPr="00F712D5" w:rsidRDefault="00965BD4" w:rsidP="00965BD4">
            <w:pPr>
              <w:pStyle w:val="rvps14"/>
              <w:spacing w:before="0" w:after="0"/>
              <w:ind w:left="147" w:right="139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40" w:rsidRPr="00F712D5" w:rsidRDefault="007253E6" w:rsidP="00B953C0">
            <w:pPr>
              <w:shd w:val="clear" w:color="auto" w:fill="FFFFFF"/>
              <w:suppressAutoHyphens w:val="0"/>
              <w:spacing w:after="0" w:line="240" w:lineRule="auto"/>
              <w:ind w:left="110" w:right="1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Відсутність</w:t>
            </w:r>
            <w:r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3B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визначених випадків та способів</w:t>
            </w:r>
            <w:r w:rsidR="00680340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2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92D0F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недопус</w:t>
            </w:r>
            <w:r w:rsidR="00D86E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E92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End"/>
            <w:r w:rsidR="00E92D0F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участі в азартних іграх осіб, яким  обмежено доступ до участі в азартних іграх, та осіб, у яких виражена ігрова залежність (лудоманія</w:t>
            </w:r>
            <w:r w:rsidR="00E92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B95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92D0F"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5A27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зробить неможливим </w:t>
            </w:r>
            <w:r w:rsidR="00CC2EDE"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забезпеч</w:t>
            </w:r>
            <w:r w:rsidR="00F73B08"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ення</w:t>
            </w:r>
            <w:r w:rsidR="00CC2EDE"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E92D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організаторами азартних ігор </w:t>
            </w:r>
            <w:r w:rsidR="005A27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такого принципу відповідальної гри як о</w:t>
            </w:r>
            <w:r w:rsidR="005A279F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бмеження гравця в участі в азартних іграх</w:t>
            </w:r>
            <w:r w:rsidR="005A279F">
              <w:rPr>
                <w:sz w:val="28"/>
                <w:szCs w:val="28"/>
                <w:lang w:val="uk-UA"/>
              </w:rPr>
              <w:t>.</w:t>
            </w:r>
          </w:p>
          <w:p w:rsidR="00EA386E" w:rsidRPr="00F712D5" w:rsidRDefault="00F73B08" w:rsidP="00B953C0">
            <w:pPr>
              <w:shd w:val="clear" w:color="auto" w:fill="FFFFFF"/>
              <w:suppressAutoHyphens w:val="0"/>
              <w:spacing w:after="0" w:line="240" w:lineRule="auto"/>
              <w:ind w:left="110" w:right="1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свою чергу, </w:t>
            </w:r>
            <w:r w:rsidR="00B10AA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відсутність  механізму </w:t>
            </w:r>
            <w:r w:rsidR="001846D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="001846D4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бмеження гравця в участі в азартних іграх</w:t>
            </w:r>
            <w:r w:rsidR="001846D4"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10AAE"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призведе до незахищеності населення від </w:t>
            </w:r>
            <w:r w:rsidR="00B10A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негативного</w:t>
            </w:r>
            <w:r w:rsidR="00B10AAE"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впливу азартних ігор та розповсюдження ігрової залежності (лудоманії). Як наслідок, це може призвести до </w:t>
            </w:r>
            <w:r w:rsidR="00B10A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посилення вимог щодо </w:t>
            </w:r>
            <w:r w:rsidR="00B10AAE" w:rsidRPr="00BD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відновлення заборони грального бізнесу в Україні</w:t>
            </w:r>
            <w:r w:rsidR="00B10AAE"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в результаті чого держава втратить надходжень до бюджету на </w:t>
            </w:r>
            <w:r w:rsidR="007676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1,5</w:t>
            </w:r>
            <w:r w:rsidR="00B10AAE"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10A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млрд.</w:t>
            </w:r>
            <w:r w:rsidR="00B10AAE"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10A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</w:t>
            </w:r>
            <w:r w:rsidR="00B10AAE"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щор</w:t>
            </w:r>
            <w:r w:rsidR="00B10A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оку</w:t>
            </w:r>
            <w:r w:rsidR="00B10AAE"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253E6" w:rsidRPr="00F712D5" w:rsidTr="002303D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F712D5" w:rsidRDefault="007253E6" w:rsidP="00B953C0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:rsidR="007253E6" w:rsidRPr="00F712D5" w:rsidRDefault="007253E6" w:rsidP="00B953C0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F712D5" w:rsidRDefault="007253E6" w:rsidP="00B953C0">
            <w:pPr>
              <w:spacing w:after="0" w:line="20" w:lineRule="atLeast"/>
              <w:ind w:left="138" w:right="127" w:firstLine="142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Прийняття регуляторного акта забезпечить: </w:t>
            </w:r>
          </w:p>
          <w:p w:rsidR="007253E6" w:rsidRPr="00F712D5" w:rsidRDefault="007253E6" w:rsidP="00B953C0">
            <w:pPr>
              <w:pStyle w:val="a8"/>
              <w:numPr>
                <w:ilvl w:val="0"/>
                <w:numId w:val="3"/>
              </w:numPr>
              <w:tabs>
                <w:tab w:val="left" w:pos="430"/>
              </w:tabs>
              <w:spacing w:after="0" w:line="20" w:lineRule="atLeast"/>
              <w:ind w:left="138" w:right="127"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виконання вимог </w:t>
            </w:r>
            <w:r w:rsidR="00353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</w:t>
            </w:r>
            <w:r w:rsidRPr="00F71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911DC" w:rsidRDefault="00353CE5" w:rsidP="00B953C0">
            <w:pPr>
              <w:pStyle w:val="a8"/>
              <w:numPr>
                <w:ilvl w:val="0"/>
                <w:numId w:val="3"/>
              </w:numPr>
              <w:tabs>
                <w:tab w:val="left" w:pos="430"/>
              </w:tabs>
              <w:spacing w:after="0" w:line="20" w:lineRule="atLeast"/>
              <w:ind w:left="138" w:right="127"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дотримання принципів відповідальної гри організаторами азартних ігор</w:t>
            </w:r>
            <w:r w:rsidR="008911DC"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403B13" w:rsidRPr="00403B13" w:rsidRDefault="00353CE5" w:rsidP="00B953C0">
            <w:pPr>
              <w:pStyle w:val="a8"/>
              <w:numPr>
                <w:ilvl w:val="0"/>
                <w:numId w:val="3"/>
              </w:numPr>
              <w:spacing w:after="0" w:line="20" w:lineRule="atLeast"/>
              <w:ind w:left="138" w:right="157" w:hanging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22" w:name="_Hlk77170256"/>
            <w:r w:rsidRPr="00403B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створення ефективного механізму </w:t>
            </w:r>
            <w:r w:rsidR="00403B13" w:rsidRPr="00403B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обмеження гравця в участі в азартних іграх</w:t>
            </w:r>
            <w:r w:rsidR="00403B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bookmarkEnd w:id="22"/>
          <w:p w:rsidR="007253E6" w:rsidRPr="00F712D5" w:rsidRDefault="00353CE5" w:rsidP="00B953C0">
            <w:pPr>
              <w:pStyle w:val="a8"/>
              <w:numPr>
                <w:ilvl w:val="0"/>
                <w:numId w:val="9"/>
              </w:numPr>
              <w:tabs>
                <w:tab w:val="left" w:pos="430"/>
              </w:tabs>
              <w:spacing w:after="0" w:line="20" w:lineRule="atLeast"/>
              <w:ind w:left="138" w:right="12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посилення боротьби з ігровою залежністю (лудоманією)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зменшення суспільної шкоди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пов’язаної з азартними іграми.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F712D5" w:rsidRDefault="0090683C" w:rsidP="00B953C0">
            <w:pPr>
              <w:spacing w:after="0" w:line="20" w:lineRule="atLeast"/>
              <w:ind w:left="110" w:right="13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вимог регуляторного акта не передбачає бюджетних витрат.</w:t>
            </w:r>
          </w:p>
        </w:tc>
      </w:tr>
    </w:tbl>
    <w:p w:rsidR="007253E6" w:rsidRPr="00F712D5" w:rsidRDefault="007253E6" w:rsidP="007253E6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23" w:name="n121"/>
      <w:bookmarkStart w:id="24" w:name="n120"/>
      <w:bookmarkEnd w:id="23"/>
      <w:bookmarkEnd w:id="24"/>
    </w:p>
    <w:p w:rsidR="00734824" w:rsidRPr="005D6A11" w:rsidRDefault="00734824" w:rsidP="00734824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Оцінка впливу на сферу інтересів громадян</w:t>
      </w:r>
    </w:p>
    <w:p w:rsidR="00734824" w:rsidRPr="005D6A11" w:rsidRDefault="00734824" w:rsidP="00734824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1"/>
        <w:gridCol w:w="3613"/>
        <w:gridCol w:w="3970"/>
      </w:tblGrid>
      <w:tr w:rsidR="00734824" w:rsidRPr="005D6A11" w:rsidTr="0076767D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580AA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734824" w:rsidRPr="00C62B4D" w:rsidTr="0076767D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580AA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Альтернатива 1</w:t>
            </w:r>
          </w:p>
          <w:p w:rsidR="00734824" w:rsidRPr="005D6A11" w:rsidRDefault="00734824" w:rsidP="00580AA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ind w:left="134" w:firstLine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13" w:rsidRDefault="00734824" w:rsidP="0076767D">
            <w:pPr>
              <w:widowControl w:val="0"/>
              <w:spacing w:after="0" w:line="240" w:lineRule="auto"/>
              <w:ind w:left="132" w:right="13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Відсутність  </w:t>
            </w:r>
            <w:r w:rsidR="00A257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визначених  </w:t>
            </w:r>
            <w:r w:rsidR="00A25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випадків</w:t>
            </w:r>
            <w:r w:rsidR="00A257DC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порядку, </w:t>
            </w:r>
            <w:proofErr w:type="spellStart"/>
            <w:r w:rsidR="00A257DC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недопус</w:t>
            </w:r>
            <w:r w:rsidR="00A25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proofErr w:type="spellEnd"/>
            <w:r w:rsidR="00A257DC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участі в азартних іграх осіб, яким  обмежено доступ до участі в азартних іграх, та осіб, у яких виражена ігрова залежність (лудоманія)</w:t>
            </w:r>
            <w:r w:rsidR="007676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25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матиме наслідком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неефективн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03B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функціонування механізму </w:t>
            </w:r>
            <w:r w:rsidR="001846D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="001846D4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бмеження гравця в участі в азартних іграх</w:t>
            </w:r>
            <w:r w:rsidR="001846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34824" w:rsidRDefault="00734824" w:rsidP="0076767D">
            <w:pPr>
              <w:widowControl w:val="0"/>
              <w:spacing w:after="0" w:line="240" w:lineRule="auto"/>
              <w:ind w:left="132" w:right="130" w:firstLine="2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Слід зазначити, що люди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ігровою залежністю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лудомани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у переважній більшості не визнають своєї залежності та навіть за наявності відповідної заборони прагнуть повернутися до гри в будь-який спосіб. </w:t>
            </w:r>
          </w:p>
          <w:p w:rsidR="00734824" w:rsidRPr="005D6A11" w:rsidRDefault="00734824" w:rsidP="0076767D">
            <w:pPr>
              <w:widowControl w:val="0"/>
              <w:spacing w:after="0" w:line="240" w:lineRule="auto"/>
              <w:ind w:left="132" w:right="130" w:firstLine="2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неприйняття проєкту </w:t>
            </w:r>
            <w:r w:rsidR="00403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ішення зростає імовірність </w:t>
            </w:r>
            <w:r w:rsidR="00403B13" w:rsidRPr="00403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умов </w:t>
            </w:r>
            <w:r w:rsidR="00EF1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</w:t>
            </w:r>
            <w:r w:rsidR="00403B13" w:rsidRPr="00403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соціальних ризиків, пов’язаних з організацією та проведенням азартних ігор, з</w:t>
            </w:r>
            <w:r w:rsidR="00184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більшення</w:t>
            </w:r>
            <w:r w:rsidR="00403B13" w:rsidRPr="00403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суспільної шкоди пов’язаної з азартними іграми.</w:t>
            </w:r>
          </w:p>
        </w:tc>
      </w:tr>
      <w:tr w:rsidR="00734824" w:rsidRPr="005D6A11" w:rsidTr="0076767D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580AA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:rsidR="00734824" w:rsidRPr="005D6A11" w:rsidRDefault="00734824" w:rsidP="00580AA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4EC" w:rsidRDefault="00BD16C2" w:rsidP="0076767D">
            <w:pPr>
              <w:spacing w:after="0" w:line="240" w:lineRule="auto"/>
              <w:ind w:left="72" w:right="144" w:firstLine="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Прийняття проєкту р</w:t>
            </w:r>
            <w:r w:rsidR="00734824"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ішення забезпечить</w:t>
            </w:r>
            <w:r w:rsidR="007348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ефективн</w:t>
            </w:r>
            <w:r w:rsidR="00A974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 дотримання організаторами азартних ігор такого принципу азартної г</w:t>
            </w:r>
            <w:r w:rsidR="007676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ри</w:t>
            </w:r>
            <w:r w:rsidR="00A974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як </w:t>
            </w:r>
            <w:r w:rsidR="00A974EC" w:rsidRPr="00E36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обмеження гравця в участі в азартних іграх </w:t>
            </w:r>
            <w:r w:rsidR="007676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A974EC" w:rsidRPr="00E36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зобов’язання</w:t>
            </w:r>
            <w:r w:rsidR="007676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974EC" w:rsidRPr="00E36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організатора азартних ігор не допускати до участі в азартних іграх осіб, яким обмежено доступ до участі в азартних іграх, та осіб, у яких виражена ігрова залежність (лудоманія). </w:t>
            </w:r>
          </w:p>
          <w:p w:rsidR="00734824" w:rsidRPr="004D2B10" w:rsidRDefault="00734824" w:rsidP="0076767D">
            <w:pPr>
              <w:shd w:val="clear" w:color="auto" w:fill="FFFFFF"/>
              <w:suppressAutoHyphens w:val="0"/>
              <w:spacing w:after="0" w:line="240" w:lineRule="auto"/>
              <w:ind w:left="72" w:right="144" w:firstLine="2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4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 результаті до гральних закладів та до участі в азартних іграх не допускатимуться особи, </w:t>
            </w:r>
            <w:r w:rsidR="00A974EC" w:rsidRPr="00A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відносно яких в Реєстрі осіб, яким обмежено доступ до гральних закладів та/або участь в азартних іграх</w:t>
            </w:r>
            <w:r w:rsidR="00767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="00A974EC" w:rsidRPr="00A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міститься інформація про обмеження доступу до гральних закладів та/або </w:t>
            </w:r>
            <w:r w:rsidR="00A974EC" w:rsidRPr="00A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участі в азартних іграх, яка  є актуальною на дату проведе</w:t>
            </w:r>
            <w:r w:rsidR="00A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ння ідентифікації (верифікації), а також особи </w:t>
            </w:r>
            <w:r w:rsidR="00A974EC" w:rsidRPr="00506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 вираженою ігровою залежністю (лудоманією).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ind w:left="122" w:right="157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Відсутні</w:t>
            </w:r>
          </w:p>
        </w:tc>
      </w:tr>
    </w:tbl>
    <w:p w:rsidR="00734824" w:rsidRPr="005D6A11" w:rsidRDefault="00734824" w:rsidP="00734824">
      <w:pPr>
        <w:spacing w:after="0" w:line="20" w:lineRule="atLeast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34824" w:rsidRPr="000E66DA" w:rsidRDefault="00734824" w:rsidP="00734824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E66DA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суб’єктів господарювання</w:t>
      </w:r>
    </w:p>
    <w:p w:rsidR="00734824" w:rsidRPr="000E66DA" w:rsidRDefault="00734824" w:rsidP="00734824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6"/>
        <w:gridCol w:w="1275"/>
        <w:gridCol w:w="1276"/>
        <w:gridCol w:w="1276"/>
        <w:gridCol w:w="1276"/>
        <w:gridCol w:w="1275"/>
      </w:tblGrid>
      <w:tr w:rsidR="00734824" w:rsidRPr="000E66DA" w:rsidTr="00F937FB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F937FB">
            <w:pPr>
              <w:spacing w:after="0" w:line="20" w:lineRule="atLeast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Великі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Середні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Малі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Мікро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734824" w:rsidRPr="000E66DA" w:rsidTr="00F937FB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F937FB">
            <w:pPr>
              <w:spacing w:after="0" w:line="20" w:lineRule="atLeast"/>
              <w:ind w:left="142" w:right="12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Кількість суб’єктів господарювання на ринку азартних ігор*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E972DF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E972DF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734824" w:rsidRPr="000E66DA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E66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34824" w:rsidRPr="000E66DA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27639A" w:rsidRDefault="00E972DF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E972DF" w:rsidRPr="000E66DA" w:rsidTr="00F937FB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DF" w:rsidRPr="000E66DA" w:rsidRDefault="00E972DF" w:rsidP="00F937FB">
            <w:pPr>
              <w:spacing w:after="0" w:line="20" w:lineRule="atLeast"/>
              <w:ind w:left="142" w:right="124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E66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Загальна кількість суб’єктів господарювання, що підпадають під дію регулювання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DF" w:rsidRPr="000E66DA" w:rsidRDefault="00E972DF" w:rsidP="00E955F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DF" w:rsidRPr="000E66DA" w:rsidRDefault="00E972DF" w:rsidP="00E955F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E972DF" w:rsidRPr="000E66DA" w:rsidRDefault="00E972DF" w:rsidP="00E955F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DF" w:rsidRPr="000E66DA" w:rsidRDefault="00E972DF" w:rsidP="00392DF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E66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E972DF" w:rsidRPr="000E66DA" w:rsidRDefault="00E972DF" w:rsidP="00392DF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DF" w:rsidRPr="000E66DA" w:rsidRDefault="00E972DF" w:rsidP="00392DF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DF" w:rsidRPr="0027639A" w:rsidRDefault="00E972DF" w:rsidP="00392DF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734824" w:rsidRPr="000E66DA" w:rsidTr="00F937FB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F937FB">
            <w:pPr>
              <w:spacing w:after="0" w:line="20" w:lineRule="atLeast"/>
              <w:ind w:left="142" w:right="12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Питома вага групи у загальній кількості, відсотків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E972D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72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E972DF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0E66DA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6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734824" w:rsidRPr="000E66DA" w:rsidRDefault="00734824" w:rsidP="00734824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:rsidR="00734824" w:rsidRPr="000E66DA" w:rsidRDefault="00734824" w:rsidP="00734824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6DA">
        <w:rPr>
          <w:rFonts w:ascii="Times New Roman" w:hAnsi="Times New Roman" w:cs="Times New Roman"/>
          <w:sz w:val="24"/>
          <w:szCs w:val="24"/>
          <w:lang w:val="uk-UA" w:eastAsia="uk-UA"/>
        </w:rPr>
        <w:t>* Кількість суб’єктів господарювання, які станом на 01.</w:t>
      </w:r>
      <w:r w:rsidR="00392DF7">
        <w:rPr>
          <w:rFonts w:ascii="Times New Roman" w:hAnsi="Times New Roman" w:cs="Times New Roman"/>
          <w:sz w:val="24"/>
          <w:szCs w:val="24"/>
          <w:lang w:val="uk-UA" w:eastAsia="uk-UA"/>
        </w:rPr>
        <w:t>06.2022</w:t>
      </w:r>
      <w:r w:rsidRPr="000E66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отримали ліцензію на провадження діяльності з організації та проведення азартних ігор, зокрема, на провадження діяльності казино у мережі Інтернет, у гральних закладах казино, у залах гральних автоматів, гри в покер в мережі Інтернет, а також на букмекерську діяльність</w:t>
      </w:r>
      <w:r w:rsidRPr="000E66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34824" w:rsidRPr="005D6A11" w:rsidRDefault="00734824" w:rsidP="00734824">
      <w:pPr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9"/>
        <w:gridCol w:w="3907"/>
        <w:gridCol w:w="3772"/>
      </w:tblGrid>
      <w:tr w:rsidR="00734824" w:rsidRPr="005D6A11" w:rsidTr="0076767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76767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25" w:name="n143"/>
            <w:bookmarkEnd w:id="25"/>
            <w:r w:rsidRPr="005D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734824" w:rsidRPr="00C62B4D" w:rsidTr="0076767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76767D">
            <w:pPr>
              <w:spacing w:after="0" w:line="20" w:lineRule="atLeast"/>
              <w:ind w:left="142" w:hanging="142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Альтернатива 1</w:t>
            </w:r>
          </w:p>
          <w:p w:rsidR="00734824" w:rsidRPr="005D6A11" w:rsidRDefault="00734824" w:rsidP="0076767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051481" w:rsidP="004C35D8">
            <w:pPr>
              <w:spacing w:after="0" w:line="20" w:lineRule="atLeast"/>
              <w:ind w:left="134" w:right="127" w:firstLine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Default="00734824" w:rsidP="00DA0062">
            <w:pPr>
              <w:widowControl w:val="0"/>
              <w:spacing w:after="0" w:line="240" w:lineRule="auto"/>
              <w:ind w:left="132" w:right="130" w:firstLine="2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Відсутність</w:t>
            </w:r>
            <w:r w:rsidR="00B128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визначених випадків</w:t>
            </w:r>
            <w:r w:rsidR="00B12875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F65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способів</w:t>
            </w:r>
            <w:r w:rsidR="00B12875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12875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недопус</w:t>
            </w:r>
            <w:r w:rsidR="00B128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proofErr w:type="spellEnd"/>
            <w:r w:rsidR="00B12875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участі в азартних іграх осіб, яким  обмежено доступ до участі в азартних іграх, та осіб, у яких виражена ігрова залежність (лудоманія)</w:t>
            </w:r>
            <w:r w:rsidR="00DA0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128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призведе</w:t>
            </w:r>
            <w:r w:rsidR="00B128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неефективного функціонування</w:t>
            </w:r>
            <w:r w:rsidRPr="00F14B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механізму </w:t>
            </w:r>
            <w:r w:rsidR="00B1287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="00B12875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бмеження</w:t>
            </w:r>
            <w:r w:rsidRPr="00F14B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Це,</w:t>
            </w:r>
            <w:r w:rsidRPr="00F14B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свою чергу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Pr="00F14B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призведе до незахищеності </w:t>
            </w:r>
            <w:r w:rsidRPr="008F6B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прав</w:t>
            </w:r>
            <w:r w:rsidR="00B128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 свобод</w:t>
            </w:r>
            <w:r w:rsidRPr="008F6B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громадян, які можуть </w:t>
            </w:r>
            <w:r w:rsidRPr="008F6B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попасти у залежність від азартних ігор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Pr="00F14B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 розповсюдження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лудоманії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репутаційних втрат організаторів та посилення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вимог щодо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F6B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відновлення заборони грального бізнесу 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 Україні.</w:t>
            </w:r>
          </w:p>
          <w:p w:rsidR="002B294D" w:rsidRPr="005D6A11" w:rsidRDefault="0061729E" w:rsidP="00F937FB">
            <w:pPr>
              <w:widowControl w:val="0"/>
              <w:spacing w:after="0" w:line="240" w:lineRule="auto"/>
              <w:ind w:left="132" w:right="130" w:firstLine="2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Крім того, відсутність механізму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недопуску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гри осіб</w:t>
            </w:r>
            <w:r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яким  обмежено доступ до участі в азартних іграх, та осіб, у яких виражена ігрова залежність (лудоманія)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2B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може призвести до зловживань правом </w:t>
            </w:r>
            <w:r w:rsid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таких осіб</w:t>
            </w:r>
            <w:r w:rsidR="00F937FB"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відшкодування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294D" w:rsidRPr="002B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вигляді десятикратного розміру програшу та можливою необачливістю організатора азартних ігор з метою отримання прибутку.</w:t>
            </w:r>
          </w:p>
        </w:tc>
      </w:tr>
      <w:tr w:rsidR="00734824" w:rsidRPr="00C62B4D" w:rsidTr="0076767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76767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:rsidR="00734824" w:rsidRPr="005D6A11" w:rsidRDefault="00734824" w:rsidP="0076767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BD16C2" w:rsidP="00F937FB">
            <w:pPr>
              <w:spacing w:after="0" w:line="20" w:lineRule="atLeast"/>
              <w:ind w:left="134" w:right="128" w:firstLine="28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Прийняття проєкту р</w:t>
            </w:r>
            <w:r w:rsidR="00734824"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ішення забезпечить:</w:t>
            </w:r>
          </w:p>
          <w:p w:rsidR="00734824" w:rsidRPr="005D6A11" w:rsidRDefault="00734824" w:rsidP="00734824">
            <w:pPr>
              <w:pStyle w:val="a8"/>
              <w:numPr>
                <w:ilvl w:val="0"/>
                <w:numId w:val="14"/>
              </w:numPr>
              <w:tabs>
                <w:tab w:val="left" w:pos="412"/>
              </w:tabs>
              <w:spacing w:after="0" w:line="20" w:lineRule="atLeast"/>
              <w:ind w:left="127" w:right="128" w:firstLine="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виконання обов’язків організатора азартних ігор дотримуватися принципів відповідальної гри; </w:t>
            </w:r>
          </w:p>
          <w:p w:rsidR="000A64FA" w:rsidRPr="000A64FA" w:rsidRDefault="00F937FB" w:rsidP="00734824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412"/>
              </w:tabs>
              <w:suppressAutoHyphens w:val="0"/>
              <w:spacing w:after="0" w:line="240" w:lineRule="auto"/>
              <w:ind w:left="127" w:right="12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застосува</w:t>
            </w:r>
            <w:r w:rsidR="000A6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ння чітких</w:t>
            </w:r>
            <w:r w:rsidR="00BD16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 єдин</w:t>
            </w:r>
            <w:r w:rsidR="000A6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их для всіх організаторів азартних ігор випадків та </w:t>
            </w:r>
            <w:r w:rsidR="00BD7D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способів</w:t>
            </w:r>
            <w:r w:rsidR="000A6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BD16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недопуск</w:t>
            </w:r>
            <w:r w:rsidR="000A6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</w:t>
            </w:r>
            <w:proofErr w:type="spellEnd"/>
            <w:r w:rsidR="00BD16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D16C2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участі в азартних іграх осіб, яким  обмежено доступ до участі в азартних іграх, та осіб, у яких виражена ігрова залежність (лудоманія)</w:t>
            </w:r>
            <w:r w:rsidR="000A64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34824" w:rsidRPr="005D6A11" w:rsidRDefault="00734824" w:rsidP="000A64FA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412"/>
              </w:tabs>
              <w:suppressAutoHyphens w:val="0"/>
              <w:spacing w:after="0" w:line="240" w:lineRule="auto"/>
              <w:ind w:left="127" w:right="126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сприяння формуванню іміджу надійного та відповідаль</w:t>
            </w:r>
            <w:r w:rsidR="000A6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ного організатора азартних ігор.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F937FB">
            <w:pPr>
              <w:spacing w:after="0" w:line="20" w:lineRule="atLeast"/>
              <w:ind w:left="122" w:right="157" w:firstLine="21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Витрати суб’єктів господарюва</w:t>
            </w:r>
            <w:r w:rsidR="00E36F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ння на виконання вимог проєкту р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ішення, а саме на </w:t>
            </w:r>
            <w:r w:rsidR="00E36F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забезпечення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ідентифікаці</w:t>
            </w:r>
            <w:r w:rsidR="00E36F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ї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E36F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гравців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315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орієнтовно складуть                 </w:t>
            </w:r>
            <w:r w:rsidR="00D315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  <w:r w:rsidRPr="00D315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4,</w:t>
            </w:r>
            <w:r w:rsidR="00D315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  <w:r w:rsidRPr="00D315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F937FB" w:rsidRPr="00D315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млн.</w:t>
            </w:r>
            <w:r w:rsidRPr="00D315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315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833B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одного суб’єкта господарювання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833B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 отрима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</w:t>
            </w:r>
            <w:r w:rsidRPr="00833B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ліцензію на провадження діяльності з організації та проведення азартних ігор у гральних закладах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734824" w:rsidRPr="005D6A11" w:rsidRDefault="00734824" w:rsidP="00734824">
      <w:pPr>
        <w:pStyle w:val="rvps12"/>
        <w:spacing w:before="0" w:after="0" w:line="20" w:lineRule="atLeast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  <w:bookmarkStart w:id="26" w:name="n188"/>
      <w:bookmarkStart w:id="27" w:name="n187"/>
      <w:bookmarkStart w:id="28" w:name="n186"/>
      <w:bookmarkStart w:id="29" w:name="n185"/>
      <w:bookmarkStart w:id="30" w:name="n184"/>
      <w:bookmarkStart w:id="31" w:name="n183"/>
      <w:bookmarkStart w:id="32" w:name="n182"/>
      <w:bookmarkStart w:id="33" w:name="n181"/>
      <w:bookmarkStart w:id="34" w:name="n180"/>
      <w:bookmarkStart w:id="35" w:name="n179"/>
      <w:bookmarkStart w:id="36" w:name="n149"/>
      <w:bookmarkStart w:id="37" w:name="n144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734824" w:rsidRPr="009F3737" w:rsidRDefault="00734824" w:rsidP="00734824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  <w:lang w:val="uk-UA" w:eastAsia="uk-UA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40"/>
        <w:gridCol w:w="3028"/>
      </w:tblGrid>
      <w:tr w:rsidR="00734824" w:rsidRPr="005D6A11" w:rsidTr="004C35D8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pStyle w:val="rvps12"/>
              <w:spacing w:before="0" w:after="0" w:line="20" w:lineRule="atLeast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D6A1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Сумарні витрати за альтернативами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pStyle w:val="rvps12"/>
              <w:spacing w:before="0" w:after="0" w:line="20" w:lineRule="atLeast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D6A1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Сума витрат, гривень</w:t>
            </w:r>
          </w:p>
        </w:tc>
      </w:tr>
      <w:tr w:rsidR="00734824" w:rsidRPr="005D6A11" w:rsidTr="004C35D8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pStyle w:val="rvps14"/>
              <w:spacing w:before="0" w:after="0" w:line="20" w:lineRule="atLeast"/>
              <w:ind w:left="142" w:right="1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6A11">
              <w:rPr>
                <w:color w:val="000000"/>
                <w:sz w:val="28"/>
                <w:szCs w:val="28"/>
                <w:lang w:val="uk-UA" w:eastAsia="uk-UA"/>
              </w:rPr>
              <w:t>Альтернатива 1. 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8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pStyle w:val="rvps14"/>
              <w:spacing w:before="0" w:after="0" w:line="20" w:lineRule="atLeast"/>
              <w:ind w:left="1068"/>
              <w:contextualSpacing/>
              <w:rPr>
                <w:sz w:val="28"/>
                <w:szCs w:val="28"/>
                <w:lang w:val="uk-UA"/>
              </w:rPr>
            </w:pPr>
            <w:r w:rsidRPr="005D6A11">
              <w:rPr>
                <w:color w:val="000000"/>
                <w:sz w:val="28"/>
                <w:szCs w:val="28"/>
                <w:lang w:val="uk-UA" w:eastAsia="uk-UA"/>
              </w:rPr>
              <w:t>0 грн</w:t>
            </w:r>
          </w:p>
        </w:tc>
      </w:tr>
      <w:tr w:rsidR="00734824" w:rsidRPr="005D6A11" w:rsidTr="004C35D8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pStyle w:val="rvps14"/>
              <w:spacing w:before="0" w:after="0" w:line="20" w:lineRule="atLeast"/>
              <w:ind w:left="142" w:right="1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6A11">
              <w:rPr>
                <w:color w:val="000000"/>
                <w:sz w:val="28"/>
                <w:szCs w:val="28"/>
                <w:lang w:val="uk-UA" w:eastAsia="uk-UA"/>
              </w:rPr>
              <w:t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8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D3152A" w:rsidRDefault="00734824" w:rsidP="004C35D8">
            <w:pPr>
              <w:pStyle w:val="rvps14"/>
              <w:spacing w:before="0" w:after="0" w:line="20" w:lineRule="atLeast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3152A">
              <w:rPr>
                <w:sz w:val="28"/>
                <w:szCs w:val="28"/>
                <w:lang w:val="uk-UA"/>
              </w:rPr>
              <w:t xml:space="preserve">Сумарні витрати суб’єктів великого та середнього бізнесу – </w:t>
            </w:r>
          </w:p>
          <w:p w:rsidR="00734824" w:rsidRPr="005D6A11" w:rsidRDefault="00D3152A" w:rsidP="004C35D8">
            <w:pPr>
              <w:pStyle w:val="rvps14"/>
              <w:spacing w:before="0" w:after="0" w:line="20" w:lineRule="atLeas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14 780 000</w:t>
            </w:r>
            <w:r w:rsidR="00734824" w:rsidRPr="00D3152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4824" w:rsidRPr="00D3152A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  <w:p w:rsidR="00734824" w:rsidRPr="005D6A11" w:rsidRDefault="00734824" w:rsidP="004C35D8">
            <w:pPr>
              <w:pStyle w:val="rvps14"/>
              <w:spacing w:before="0" w:after="0" w:line="20" w:lineRule="atLeast"/>
              <w:contextualSpacing/>
              <w:jc w:val="center"/>
              <w:rPr>
                <w:sz w:val="12"/>
                <w:szCs w:val="12"/>
                <w:lang w:val="uk-UA"/>
              </w:rPr>
            </w:pPr>
          </w:p>
          <w:p w:rsidR="00734824" w:rsidRPr="005D6A11" w:rsidRDefault="00734824" w:rsidP="004C35D8">
            <w:pPr>
              <w:pStyle w:val="rvps14"/>
              <w:spacing w:before="0" w:after="0" w:line="20" w:lineRule="atLeast"/>
              <w:contextualSpacing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734824" w:rsidRPr="005D6A11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734824" w:rsidRPr="005D6A11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center"/>
        <w:rPr>
          <w:sz w:val="28"/>
          <w:szCs w:val="28"/>
        </w:rPr>
      </w:pPr>
      <w:r w:rsidRPr="005D6A11">
        <w:rPr>
          <w:b/>
          <w:color w:val="000000"/>
          <w:sz w:val="28"/>
          <w:szCs w:val="28"/>
        </w:rPr>
        <w:t>IV. Вибір найбільш оптимального альтернативного способу досягнення цілей</w:t>
      </w:r>
    </w:p>
    <w:p w:rsidR="00734824" w:rsidRPr="005D6A11" w:rsidRDefault="00734824" w:rsidP="00734824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Вартість балів оптимального альтернативного способу визначається за чотирибальною системою оцінки ступеня досягнення визначених цілей, де:</w:t>
      </w:r>
    </w:p>
    <w:p w:rsidR="00734824" w:rsidRPr="005D6A11" w:rsidRDefault="00734824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цілі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прийняття регуляторного акта, які можуть бути досягнуті повною мірою (проблема більше існувати не буде);</w:t>
      </w:r>
    </w:p>
    <w:p w:rsidR="00734824" w:rsidRPr="005D6A11" w:rsidRDefault="00734824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8" w:name="n155"/>
      <w:bookmarkEnd w:id="38"/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цілі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рийняття</w:t>
      </w:r>
      <w:proofErr w:type="spellEnd"/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регуляторного акта, які можуть бути досягнуті майже  повною мірою (усі важливі аспекти проблеми існувати не будуть);</w:t>
      </w:r>
    </w:p>
    <w:p w:rsidR="00734824" w:rsidRPr="005D6A11" w:rsidRDefault="00734824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n156"/>
      <w:bookmarkEnd w:id="39"/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цілі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734824" w:rsidRPr="005D6A11" w:rsidRDefault="00734824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0" w:name="n157"/>
      <w:bookmarkEnd w:id="40"/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цілі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прийняття регуляторного акта, які не можуть бути досягнуті (проблема продовжує існувати).</w:t>
      </w:r>
    </w:p>
    <w:p w:rsidR="00734824" w:rsidRPr="009F3737" w:rsidRDefault="00734824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  <w:lang w:val="uk-UA" w:eastAsia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2"/>
        <w:gridCol w:w="2352"/>
        <w:gridCol w:w="4665"/>
      </w:tblGrid>
      <w:tr w:rsidR="00734824" w:rsidRPr="005D6A11" w:rsidTr="004C35D8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41" w:name="n158"/>
            <w:bookmarkEnd w:id="41"/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734824" w:rsidRPr="00454892" w:rsidTr="004C35D8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Альтернатива 1</w:t>
            </w:r>
          </w:p>
          <w:p w:rsidR="00734824" w:rsidRPr="005D6A11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54892">
            <w:pPr>
              <w:spacing w:after="0" w:line="20" w:lineRule="atLeast"/>
              <w:ind w:left="45" w:right="132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 разі залишення наявної на сьогодні ситуації без змін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повноцінне та ефективне 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застосування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організаторами азартних ігор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548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механізму 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54892" w:rsidRPr="004548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обмеження </w:t>
            </w:r>
            <w:r w:rsidR="00454892" w:rsidRPr="004548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гравця в участі в азартних іграх</w:t>
            </w:r>
            <w:r w:rsidR="004548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як одного з принципів відповідальної гри, 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буде неможливим. Проблеми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зазначені в розділі І АРВ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не будуть вирішені. </w:t>
            </w:r>
          </w:p>
        </w:tc>
      </w:tr>
      <w:tr w:rsidR="00734824" w:rsidRPr="005D6A11" w:rsidTr="004C35D8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Альтернатива 2 </w:t>
            </w:r>
          </w:p>
          <w:p w:rsidR="00734824" w:rsidRPr="005D6A11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Default="00734824" w:rsidP="004C35D8">
            <w:pPr>
              <w:widowControl w:val="0"/>
              <w:spacing w:after="0" w:line="240" w:lineRule="auto"/>
              <w:ind w:left="45" w:right="13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 разі прийняття проєкту </w:t>
            </w:r>
            <w:r w:rsidR="004548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ішення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буде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визначено </w:t>
            </w:r>
            <w:r w:rsidR="00BD7D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випадки та способи  </w:t>
            </w:r>
            <w:proofErr w:type="spellStart"/>
            <w:r w:rsidR="00BD7D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недопуску</w:t>
            </w:r>
            <w:proofErr w:type="spellEnd"/>
            <w:r w:rsidR="00BD7D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D7DD0"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участі в азартних іграх осіб, яким  обмежено доступ до участі в азартних іграх, та осіб, у яких виражена ігрова залежність (лудоманія)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що сприятиме </w:t>
            </w:r>
            <w:r w:rsidRPr="008705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енню</w:t>
            </w:r>
            <w:r w:rsidRPr="008705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ефективного механізму </w:t>
            </w:r>
            <w:r w:rsidR="00F65F5D" w:rsidRPr="004548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обмеження гравця в участі в азартних іграх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а також посиленню</w:t>
            </w:r>
            <w:r w:rsidRPr="008705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боротьби з ігровою залежністю (лудоманією)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734824" w:rsidRPr="005D6A11" w:rsidRDefault="00734824" w:rsidP="004C35D8">
            <w:pPr>
              <w:spacing w:after="0" w:line="20" w:lineRule="atLeast"/>
              <w:ind w:left="45" w:right="132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Проблеми,  зазначені у розділі І АРВ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будуть врегульовані, а цілі досягнені. </w:t>
            </w:r>
          </w:p>
        </w:tc>
      </w:tr>
    </w:tbl>
    <w:p w:rsidR="00734824" w:rsidRPr="009F3737" w:rsidRDefault="00734824" w:rsidP="00734824">
      <w:pPr>
        <w:tabs>
          <w:tab w:val="left" w:pos="6513"/>
        </w:tabs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 w:rsidRPr="009F3737">
        <w:rPr>
          <w:rFonts w:ascii="Times New Roman" w:hAnsi="Times New Roman" w:cs="Times New Roman"/>
          <w:color w:val="000000"/>
          <w:sz w:val="12"/>
          <w:szCs w:val="12"/>
          <w:lang w:val="uk-UA" w:eastAsia="uk-UA"/>
        </w:rPr>
        <w:tab/>
      </w:r>
    </w:p>
    <w:p w:rsidR="00734824" w:rsidRPr="00531F24" w:rsidRDefault="00734824" w:rsidP="00734824">
      <w:pPr>
        <w:spacing w:after="0" w:line="20" w:lineRule="atLeast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3"/>
        <w:gridCol w:w="2710"/>
        <w:gridCol w:w="2711"/>
        <w:gridCol w:w="2305"/>
      </w:tblGrid>
      <w:tr w:rsidR="00734824" w:rsidRPr="005D6A11" w:rsidTr="004C35D8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42" w:name="n159"/>
            <w:bookmarkEnd w:id="42"/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Рейтинг </w:t>
            </w:r>
            <w:proofErr w:type="spellStart"/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результатив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-</w:t>
            </w: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ності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Вигоди (підсумок)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Витрати (підсумок)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734824" w:rsidRPr="00C62B4D" w:rsidTr="004C35D8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Альтернатива 1</w:t>
            </w:r>
          </w:p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Для держави:</w:t>
            </w: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D5E" w:rsidRDefault="00720D5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D5E" w:rsidRDefault="00720D5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D5E" w:rsidRDefault="00720D5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D5E" w:rsidRDefault="00720D5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D5E" w:rsidRDefault="00720D5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D5E" w:rsidRDefault="00720D5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D5E" w:rsidRDefault="00720D5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D5E" w:rsidRDefault="00720D5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930849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055A0C" w:rsidRDefault="00055A0C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55A0C" w:rsidRDefault="00055A0C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55A0C" w:rsidRDefault="00055A0C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55A0C" w:rsidRDefault="00055A0C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55A0C" w:rsidRDefault="00055A0C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55A0C" w:rsidRDefault="00055A0C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55A0C" w:rsidRDefault="00055A0C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34824" w:rsidRPr="00E04071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40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громадян:</w:t>
            </w: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642891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F937FB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34824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34824" w:rsidRPr="00E04071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40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суб’єктів господарювання:</w:t>
            </w:r>
          </w:p>
          <w:p w:rsidR="00734824" w:rsidRPr="005D6A11" w:rsidRDefault="0007610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Для держави:</w:t>
            </w:r>
          </w:p>
          <w:p w:rsidR="00F937FB" w:rsidRPr="00F937FB" w:rsidRDefault="00F937FB" w:rsidP="00F937FB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визначених випадків та способів  </w:t>
            </w:r>
            <w:proofErr w:type="spellStart"/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недопуску</w:t>
            </w:r>
            <w:proofErr w:type="spellEnd"/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участі в азартних іграх осіб, яким  обмежено доступ до участі в азартних іграх, та осіб, у яких виражена ігрова залежність (лудоманія), зробить неможливим  забезпечення </w:t>
            </w:r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організаторами азартних ігор такого принципу відповідальної гри як обмеження гравця в участі в азартних іграх.</w:t>
            </w:r>
          </w:p>
          <w:p w:rsidR="00734824" w:rsidRDefault="00F937FB" w:rsidP="00F937FB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свою чергу, відсутність  механізму обмеження гравця в участі в азартних іграх призведе до незахищеності населення від негативного впливу азартних ігор та розповсюдження ігрової залежності (лудоманії). Як наслідок, це може призвести до посилення вимог щодо відновлення заборони грального бізнесу в Україні, в результаті чого держава втратить надходжень до бюджету на 1,5 млрд. </w:t>
            </w:r>
            <w:proofErr w:type="spellStart"/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щороку.</w:t>
            </w:r>
          </w:p>
          <w:p w:rsidR="00F937FB" w:rsidRPr="00E04071" w:rsidRDefault="00F937FB" w:rsidP="00F937FB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734824" w:rsidRPr="00E04071" w:rsidRDefault="00734824" w:rsidP="004C35D8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40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громадян:</w:t>
            </w:r>
          </w:p>
          <w:p w:rsidR="00F937FB" w:rsidRPr="00F937FB" w:rsidRDefault="00F937FB" w:rsidP="00F937FB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 визначених  випадків та порядку, </w:t>
            </w:r>
            <w:proofErr w:type="spellStart"/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недопуску</w:t>
            </w:r>
            <w:proofErr w:type="spellEnd"/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участі в азартних іграх осіб, яким  обмежено доступ до участі в азартних іграх, та осіб, у яких виражена </w:t>
            </w:r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ігрова залежність (лудоманія), матиме наслідком неефективне функціонування механізму обмеження гравця в участі в азартних іграх.</w:t>
            </w:r>
          </w:p>
          <w:p w:rsidR="00F937FB" w:rsidRPr="00F937FB" w:rsidRDefault="00F937FB" w:rsidP="00F937FB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Слід зазначити, що люди з ігровою залежністю (</w:t>
            </w:r>
            <w:proofErr w:type="spellStart"/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лудомани</w:t>
            </w:r>
            <w:proofErr w:type="spellEnd"/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у переважній більшості не визнають своєї залежності та навіть за наявності відповідної заборони прагнуть повернутися до гри в будь-який спосіб. </w:t>
            </w:r>
          </w:p>
          <w:p w:rsidR="00734824" w:rsidRPr="00E04071" w:rsidRDefault="00F937FB" w:rsidP="00F937FB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неприйняття проєкту рішення зростає імовірність створення умов підвищення соціальних ризиків, пов’язаних з організацією та проведенням азартних ігор, збільшення суспільної шкоди пов’язаної з азартними іграми.</w:t>
            </w:r>
            <w:r w:rsidR="00734824" w:rsidRPr="00E04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0D5E" w:rsidRPr="00E04071" w:rsidRDefault="00720D5E" w:rsidP="004C35D8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:rsidR="00055A0C" w:rsidRPr="00055A0C" w:rsidRDefault="00055A0C" w:rsidP="00055A0C">
            <w:pPr>
              <w:widowControl w:val="0"/>
              <w:spacing w:after="0" w:line="240" w:lineRule="auto"/>
              <w:ind w:left="132" w:right="1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5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Відсутність визначених випадків та способів </w:t>
            </w:r>
            <w:proofErr w:type="spellStart"/>
            <w:r w:rsidRPr="00055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недопуску</w:t>
            </w:r>
            <w:proofErr w:type="spellEnd"/>
            <w:r w:rsidRPr="00055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55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до участі в азартних іграх осіб, яким  обмежено доступ до участі в азартних іграх, та осіб, у яких виражена ігрова залежність (лудоманія), призведе до неефективного функціонування механізму обмеження. Це, в свою чергу, призведе до незахищеності прав і свобод громадян, які можуть попасти у залежність від азартних ігор, та розповсюдження лудоманії, репутаційних втрат організаторів та посилення вимог щодо відновлення заборони грального бізнесу в Україні.</w:t>
            </w:r>
          </w:p>
          <w:p w:rsidR="00734824" w:rsidRPr="005D6A11" w:rsidRDefault="00055A0C" w:rsidP="00055A0C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Крім того, відсутність механізму </w:t>
            </w:r>
            <w:proofErr w:type="spellStart"/>
            <w:r w:rsidRPr="00055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недопуску</w:t>
            </w:r>
            <w:proofErr w:type="spellEnd"/>
            <w:r w:rsidRPr="00055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гри осіб, яким  обмежено доступ до участі в азартних іграх, та осіб, у яких виражена ігрова залежність (лудоманія), може призвести до зловживань правом таких осіб на </w:t>
            </w:r>
            <w:r w:rsidRPr="00055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відшкодування у вигляді десятикратного розміру програшу та можливою необачливістю організатора азартних ігор з метою отримання прибутку.</w:t>
            </w:r>
            <w:r w:rsidR="004C4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ind w:left="133" w:right="1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Залишення ситуації, яка існує на сьогодні, не вирішує зазначені в розділі І АРВ проблеми та не сприяє досягненню мети державної політики у сфері організації та проведення азартних ігор, а 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саме, створення умов для зниження соціальних ризиків, пов’язаних з їх організацією та проведенням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азартних ігор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34824" w:rsidRPr="005D6A11" w:rsidTr="004C35D8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531F24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Для держави:</w:t>
            </w:r>
          </w:p>
          <w:p w:rsidR="00531F24" w:rsidRPr="00F712D5" w:rsidRDefault="00531F24" w:rsidP="00531F24">
            <w:pPr>
              <w:spacing w:after="0" w:line="20" w:lineRule="atLeast"/>
              <w:ind w:left="134" w:right="127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Прийняття регуляторного акта забезпечить: </w:t>
            </w:r>
          </w:p>
          <w:p w:rsidR="00531F24" w:rsidRPr="00F712D5" w:rsidRDefault="00531F24" w:rsidP="00531F24">
            <w:pPr>
              <w:pStyle w:val="a8"/>
              <w:numPr>
                <w:ilvl w:val="0"/>
                <w:numId w:val="3"/>
              </w:numPr>
              <w:tabs>
                <w:tab w:val="left" w:pos="430"/>
              </w:tabs>
              <w:spacing w:after="0" w:line="20" w:lineRule="atLeast"/>
              <w:ind w:left="134" w:right="12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2D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виконання вимог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</w:t>
            </w:r>
            <w:r w:rsidRPr="00F71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31F24" w:rsidRDefault="00531F24" w:rsidP="00531F24">
            <w:pPr>
              <w:pStyle w:val="a8"/>
              <w:numPr>
                <w:ilvl w:val="0"/>
                <w:numId w:val="3"/>
              </w:numPr>
              <w:tabs>
                <w:tab w:val="left" w:pos="430"/>
              </w:tabs>
              <w:spacing w:after="0" w:line="20" w:lineRule="atLeast"/>
              <w:ind w:left="134" w:right="12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дотримання принципів відповідальної гри організаторами азартних ігор</w:t>
            </w:r>
            <w:r w:rsidRPr="00F712D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531F24" w:rsidRPr="00403B13" w:rsidRDefault="00531F24" w:rsidP="00531F24">
            <w:pPr>
              <w:pStyle w:val="a8"/>
              <w:numPr>
                <w:ilvl w:val="0"/>
                <w:numId w:val="3"/>
              </w:numPr>
              <w:spacing w:after="0" w:line="20" w:lineRule="atLeast"/>
              <w:ind w:left="134" w:right="15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03B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створення ефективного механізму обмеження гравця в участі в азартних іграх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531F24" w:rsidRDefault="00531F24" w:rsidP="00531F24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посилення боротьби з ігровою залежністю (лудоманією)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зменшення суспільної шкоди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пов’язаної з азартними іграми.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31F24" w:rsidRPr="00930849" w:rsidRDefault="00531F24" w:rsidP="00531F24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734824" w:rsidRDefault="00734824" w:rsidP="00531F24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громадян:</w:t>
            </w:r>
          </w:p>
          <w:p w:rsidR="00531F24" w:rsidRPr="00531F24" w:rsidRDefault="00531F24" w:rsidP="00531F24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31F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Прийняття проєкту рішення забезпечить ефективне дотримання організаторами </w:t>
            </w:r>
            <w:r w:rsidRPr="00531F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азартних ігор такого принципу азартної гри як обмеження гравця в участі в азартних іграх – зобов’язання організатора азартних ігор не допускати до участі в азартних іграх осіб, яким обмежено доступ до участі в азартних іграх, та осіб, у яких виражена ігрова залежність (лудоманія). </w:t>
            </w:r>
          </w:p>
          <w:p w:rsidR="00734824" w:rsidRDefault="00531F24" w:rsidP="00531F24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1F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 результаті до гральних закладів та до участі в азартних іграх не допускатимуться особи, відносно яких в Реєстрі осіб, яким обмежено доступ до гральних закладів та/або участь в азартних іграх, міститься інформація про обмеження доступу до гральних закладів та/або участі в азартних іграх, яка  є актуальною на дату проведення ідентифікації (верифікації), а також особи з </w:t>
            </w:r>
            <w:r w:rsidRPr="00531F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вираженою ігровою залежністю (лудоманією).</w:t>
            </w:r>
          </w:p>
          <w:p w:rsidR="00734824" w:rsidRPr="00930849" w:rsidRDefault="00734824" w:rsidP="00531F24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  <w:p w:rsidR="00734824" w:rsidRPr="005D6A11" w:rsidRDefault="00734824" w:rsidP="00531F24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:rsidR="00531F24" w:rsidRPr="005D6A11" w:rsidRDefault="00531F24" w:rsidP="00531F24">
            <w:pPr>
              <w:spacing w:after="0" w:line="20" w:lineRule="atLeast"/>
              <w:ind w:left="134" w:right="12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Прийняття проєкту р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ішення забезпечить:</w:t>
            </w:r>
          </w:p>
          <w:p w:rsidR="00531F24" w:rsidRPr="005D6A11" w:rsidRDefault="00531F24" w:rsidP="00531F24">
            <w:pPr>
              <w:pStyle w:val="a8"/>
              <w:numPr>
                <w:ilvl w:val="0"/>
                <w:numId w:val="14"/>
              </w:numPr>
              <w:tabs>
                <w:tab w:val="left" w:pos="412"/>
              </w:tabs>
              <w:spacing w:after="0" w:line="20" w:lineRule="atLeast"/>
              <w:ind w:left="134" w:right="1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виконання обов’язків організатора азартних ігор дотримуватися принципів відповідальної гри; </w:t>
            </w:r>
          </w:p>
          <w:p w:rsidR="00531F24" w:rsidRPr="000A64FA" w:rsidRDefault="00531F24" w:rsidP="00531F24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412"/>
              </w:tabs>
              <w:suppressAutoHyphens w:val="0"/>
              <w:spacing w:after="0" w:line="240" w:lineRule="auto"/>
              <w:ind w:left="134" w:right="12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застосування чітких та єдиних для всіх організаторів азартних ігор випадків та способів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недопуску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712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участі в азартних іграх осіб, яким  обмежено доступ до участі в азартних іграх, та осіб, у яких виражена ігрова залежність (лудоманія)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34824" w:rsidRPr="005D6A11" w:rsidRDefault="00531F24" w:rsidP="00531F24">
            <w:pPr>
              <w:pStyle w:val="a8"/>
              <w:tabs>
                <w:tab w:val="left" w:pos="430"/>
              </w:tabs>
              <w:spacing w:after="0" w:line="20" w:lineRule="atLeast"/>
              <w:ind w:left="134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сприяння формуванню іміджу надійного та відповідального організатора азартних ігор.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Для держави:</w:t>
            </w: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5D6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вимог регуляторного акта не передбачає бюджетних витрат.</w:t>
            </w: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3B3FE2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</w:p>
          <w:p w:rsidR="00734824" w:rsidRPr="00646059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Для громадян:</w:t>
            </w:r>
          </w:p>
          <w:p w:rsidR="00734824" w:rsidRPr="00930849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Відсутні</w:t>
            </w:r>
          </w:p>
          <w:p w:rsidR="00734824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Pr="00930849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  <w:p w:rsidR="00734824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34824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531F24" w:rsidRPr="00531F24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Для суб’єктів господарювання:</w:t>
            </w:r>
          </w:p>
          <w:p w:rsidR="00734824" w:rsidRPr="005D6A11" w:rsidRDefault="00FE60D6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Витрати суб’єктів господарюва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ння на виконання вимог проєкту р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ішення, а саме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забезпечення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ідентифікаці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ї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гравців </w:t>
            </w:r>
            <w:r w:rsidR="00734824" w:rsidRPr="006F0B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орієнтовно складуть               </w:t>
            </w:r>
            <w:r w:rsidR="006F0B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14,8</w:t>
            </w:r>
            <w:r w:rsidR="00734824" w:rsidRPr="006F0B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млн. грн на одного суб’єкта господарювання,</w:t>
            </w:r>
            <w:r w:rsidR="007348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734824" w:rsidRPr="00833B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 отрима</w:t>
            </w:r>
            <w:r w:rsidR="007348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</w:t>
            </w:r>
            <w:r w:rsidR="00734824" w:rsidRPr="00833B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ліцензію на провадження діяльності з організації та проведення азартних ігор у гральних закладах</w:t>
            </w:r>
            <w:r w:rsidR="00734824"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326EC" w:rsidRDefault="00734824" w:rsidP="004C35D8">
            <w:pPr>
              <w:spacing w:after="0" w:line="20" w:lineRule="atLeast"/>
              <w:ind w:left="132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Повністю вирішує проблему. Цей спосіб забезпечить</w:t>
            </w:r>
          </w:p>
          <w:p w:rsidR="00734824" w:rsidRPr="005D6A11" w:rsidRDefault="00734824" w:rsidP="004C35D8">
            <w:pPr>
              <w:spacing w:after="0" w:line="20" w:lineRule="atLeast"/>
              <w:ind w:left="132" w:right="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створенн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B32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ефективного механізму </w:t>
            </w:r>
            <w:r w:rsidR="00EE1036" w:rsidRPr="00E36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обмеження гравця в участі в азартних іграх</w:t>
            </w:r>
            <w:r w:rsidRPr="00B32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а також </w:t>
            </w:r>
            <w:r w:rsidR="00FE60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сприятиме </w:t>
            </w:r>
            <w:r w:rsidRPr="00B32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посиленню боротьби з ігровою залежністю (лудоманією).</w:t>
            </w:r>
          </w:p>
          <w:p w:rsidR="00734824" w:rsidRPr="005D6A11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34824" w:rsidRPr="005D6A11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34824" w:rsidRPr="005D6A11" w:rsidRDefault="00734824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3" w:name="n160"/>
      <w:bookmarkEnd w:id="43"/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5"/>
        <w:gridCol w:w="4291"/>
        <w:gridCol w:w="3118"/>
      </w:tblGrid>
      <w:tr w:rsidR="00734824" w:rsidRPr="005D6A11" w:rsidTr="00531F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Рейтинг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5D6A11" w:rsidRDefault="00734824" w:rsidP="004C35D8">
            <w:pPr>
              <w:spacing w:after="0" w:line="20" w:lineRule="atLeast"/>
              <w:ind w:left="139" w:right="15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5D6A11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734824" w:rsidRPr="005D6A11" w:rsidTr="00531F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3C1940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19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Альтернатива 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3C1940">
            <w:pPr>
              <w:spacing w:after="0" w:line="20" w:lineRule="atLeast"/>
              <w:ind w:left="60" w:right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Залишення наявної на сьогодні 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ситуації без змін не забезпечить досягнення визначених цілей. Зазначені в розділі І АРВ проблеми не будуть вирішені. Відсутність </w:t>
            </w:r>
            <w:r w:rsidR="003C19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дієвого механізму обмеження гравців в участі в азартних іграх 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лише сприятиме збільшенню соціальних ризиків, пов’язаних з їх організацією та проведенням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азартних ігор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ind w:left="154" w:right="1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Зовнішні чинники, що </w:t>
            </w:r>
            <w:r w:rsidRPr="005D6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впливатимуть на дію регуляторного акта, відсутні.</w:t>
            </w:r>
          </w:p>
        </w:tc>
      </w:tr>
      <w:tr w:rsidR="00734824" w:rsidRPr="005D6A11" w:rsidTr="00531F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3C1940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19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3C1940">
            <w:pPr>
              <w:widowControl w:val="0"/>
              <w:spacing w:after="0" w:line="240" w:lineRule="auto"/>
              <w:ind w:left="63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Прийняття акта у повному обсязі забезпечить досягнення задекларованих цілей, поставленої мети та є єдиним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обґрунтованим 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способом вирішення проблеми. Обрання альтернативи 2 зумовлене тим, що прийняття запропонованого </w:t>
            </w:r>
            <w:r w:rsidR="003C19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проекту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ішення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забезпечить  </w:t>
            </w:r>
            <w:r w:rsidRPr="005D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створення нормативно-правового підґрунтя для застосування </w:t>
            </w:r>
            <w:r w:rsidR="003C1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механізму обмеження гравців в участі в азартних іграх </w:t>
            </w:r>
            <w:r w:rsidRPr="005D6A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та, як наслідок, </w:t>
            </w:r>
            <w:r w:rsidRPr="005D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зменшення суспільної шкоди, пов’язаної з азартними іграми, підвищення рівня захисту </w:t>
            </w:r>
            <w:r w:rsidRPr="005D6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захист прав, законних інтересів, життя та здоров’я громадян</w:t>
            </w:r>
            <w:r w:rsidRPr="005D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5D6A11" w:rsidRDefault="00734824" w:rsidP="004C35D8">
            <w:pPr>
              <w:spacing w:after="0" w:line="20" w:lineRule="atLeast"/>
              <w:ind w:left="154" w:right="1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Зовнішні чинники, що впливатимуть на дію регуляторного акта, відсутні.</w:t>
            </w:r>
          </w:p>
        </w:tc>
      </w:tr>
    </w:tbl>
    <w:p w:rsidR="00734824" w:rsidRPr="005D6A11" w:rsidRDefault="00734824" w:rsidP="00734824">
      <w:pPr>
        <w:pStyle w:val="a3"/>
        <w:spacing w:after="0" w:line="20" w:lineRule="atLeast"/>
        <w:ind w:firstLine="720"/>
        <w:contextualSpacing/>
        <w:jc w:val="center"/>
        <w:rPr>
          <w:color w:val="000000"/>
          <w:sz w:val="28"/>
          <w:szCs w:val="28"/>
        </w:rPr>
      </w:pPr>
    </w:p>
    <w:p w:rsidR="00734824" w:rsidRPr="005D6A11" w:rsidRDefault="00734824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44" w:name="n161"/>
      <w:bookmarkStart w:id="45" w:name="n152"/>
      <w:bookmarkEnd w:id="44"/>
      <w:bookmarkEnd w:id="45"/>
      <w:r w:rsidRPr="005D6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V. Механізми та заходи, які забезпечать розв’язання визначеної проблеми</w:t>
      </w:r>
    </w:p>
    <w:p w:rsidR="00734824" w:rsidRDefault="00734824" w:rsidP="0073482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46" w:name="n163"/>
      <w:bookmarkStart w:id="47" w:name="n162"/>
      <w:bookmarkEnd w:id="46"/>
      <w:bookmarkEnd w:id="47"/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Для досягнення цілей, визначених у розділі ІІ АРВ, проєктом рішення передбачено механізм розв’язання проблеми, наведеної у розділі І АРВ, а саме:</w:t>
      </w:r>
    </w:p>
    <w:p w:rsidR="003C1940" w:rsidRPr="003C1940" w:rsidRDefault="003C1940" w:rsidP="003C1940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19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принципу відповідальної гри (обмеження гравця в участі в азартних іграх) шляхом визначення випадків та способів </w:t>
      </w:r>
      <w:proofErr w:type="spellStart"/>
      <w:r w:rsidRPr="003C1940">
        <w:rPr>
          <w:rFonts w:ascii="Times New Roman" w:eastAsia="Times New Roman" w:hAnsi="Times New Roman" w:cs="Times New Roman"/>
          <w:sz w:val="28"/>
          <w:szCs w:val="28"/>
          <w:lang w:val="uk-UA"/>
        </w:rPr>
        <w:t>недопуску</w:t>
      </w:r>
      <w:proofErr w:type="spellEnd"/>
      <w:r w:rsidRPr="003C19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участі в азартних іграх осіб, яким обмежено доступ до участі в азартних іграх, та осіб, у яких виражена ігрова залежність (лудоманія);</w:t>
      </w:r>
    </w:p>
    <w:p w:rsidR="003C1940" w:rsidRPr="003C1940" w:rsidRDefault="003C1940" w:rsidP="003C1940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19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можливість встановлення правилами організатора азартної гри, правилами проведення азартної гри та правилами відвідування грального закладу, з урахуванням вимог законодавства, </w:t>
      </w:r>
      <w:r w:rsidR="00CB28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 не допуску до участі в азартних іграх осіб, </w:t>
      </w:r>
      <w:r w:rsidR="00CB2893" w:rsidRPr="003C1940">
        <w:rPr>
          <w:rFonts w:ascii="Times New Roman" w:eastAsia="Times New Roman" w:hAnsi="Times New Roman" w:cs="Times New Roman"/>
          <w:sz w:val="28"/>
          <w:szCs w:val="28"/>
          <w:lang w:val="uk-UA"/>
        </w:rPr>
        <w:t>у яких виражена ігрова залежність (лудоманія)</w:t>
      </w:r>
      <w:r w:rsidRPr="003C19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830EA" w:rsidRDefault="00734824" w:rsidP="00C830E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194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Такий механізм обумовлений тим, що відповідно до вимог </w:t>
      </w:r>
      <w:hyperlink r:id="rId9" w:tgtFrame="_blank" w:history="1">
        <w:r w:rsidRPr="003C1940">
          <w:rPr>
            <w:rStyle w:val="a7"/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none"/>
            <w:lang w:val="uk-UA"/>
          </w:rPr>
          <w:t>Закону України</w:t>
        </w:r>
      </w:hyperlink>
      <w:r w:rsidRPr="003C19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="00C830EA" w:rsidRPr="00E36F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організатори азартних ігор зобов’язані дотримуватися принци</w:t>
      </w:r>
      <w:r w:rsidR="00C830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пів відповідальної </w:t>
      </w:r>
      <w:r w:rsidR="00C830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гри, одним з яких, відповідно </w:t>
      </w:r>
      <w:r w:rsidR="00C83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C830EA" w:rsidRPr="00E36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Принципів відповідальної гри, затверджених рішенням КРАІЛ від 11 серпня 2021 року № 483, зареєстрованим у Міністерстві юстиції України  31 серпня 2021 року за № 1141/36763, є обмеження гравця в участі в азартних іграх -  зобов’язання організатора азартних ігор не допускати до участі в азартних іграх осіб, яким обмежено доступ до участі в азартних іграх, та осіб, у яких виражена ігрова залежність (лудоманія). </w:t>
      </w:r>
    </w:p>
    <w:p w:rsidR="00734824" w:rsidRPr="005D6A11" w:rsidRDefault="00734824" w:rsidP="0073482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Дія регуляторного акта поширюватиметься на організаторів азартних ігор. </w:t>
      </w:r>
    </w:p>
    <w:p w:rsidR="00734824" w:rsidRPr="005D6A11" w:rsidRDefault="00734824" w:rsidP="0073482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Впливу зовнішніх факторів на дію регуляторного акта не очікується.</w:t>
      </w:r>
    </w:p>
    <w:p w:rsidR="005D60DF" w:rsidRDefault="005D60DF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734824" w:rsidRPr="005D6A11" w:rsidRDefault="00734824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34824" w:rsidRPr="005D6A11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5D6A11">
        <w:rPr>
          <w:color w:val="000000"/>
          <w:sz w:val="28"/>
          <w:szCs w:val="28"/>
        </w:rPr>
        <w:t>Реалізація проєкту рішення не потребує фінансування з Державного бюджету України. Досягнення цілей не передбачає додаткових витрат і ресурсів на адміністрування регулювання органами виконавчої влади чи органами місцевого</w:t>
      </w:r>
      <w:r w:rsidR="00C830EA">
        <w:rPr>
          <w:color w:val="000000"/>
          <w:sz w:val="28"/>
          <w:szCs w:val="28"/>
        </w:rPr>
        <w:t xml:space="preserve"> </w:t>
      </w:r>
      <w:r w:rsidRPr="005D6A11">
        <w:rPr>
          <w:color w:val="000000"/>
          <w:sz w:val="28"/>
          <w:szCs w:val="28"/>
        </w:rPr>
        <w:t>самоврядування.</w:t>
      </w:r>
    </w:p>
    <w:p w:rsidR="00734824" w:rsidRPr="00DC3479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sz w:val="28"/>
          <w:szCs w:val="28"/>
        </w:rPr>
      </w:pPr>
      <w:r w:rsidRPr="005D6A11">
        <w:rPr>
          <w:color w:val="000000"/>
          <w:sz w:val="28"/>
          <w:szCs w:val="28"/>
        </w:rPr>
        <w:t xml:space="preserve">Витрати суб’єктів великого та середнього підприємництва, які виникають </w:t>
      </w:r>
      <w:r w:rsidRPr="00DC3479">
        <w:rPr>
          <w:sz w:val="28"/>
          <w:szCs w:val="28"/>
        </w:rPr>
        <w:t>внаслідок дії регуляторного акта, розраховано згідно з додатком 2 до Методики проведення аналізу впливу регуляторного акта (додається).</w:t>
      </w:r>
    </w:p>
    <w:p w:rsidR="00734824" w:rsidRPr="00DC3479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Дія регуляторного акта не поширюється на суб’єктів малого підприємництва,  а, отже, </w:t>
      </w:r>
      <w:r w:rsidRPr="00DC3479">
        <w:rPr>
          <w:sz w:val="28"/>
          <w:szCs w:val="28"/>
          <w:shd w:val="clear" w:color="auto" w:fill="FFFFFF"/>
        </w:rPr>
        <w:t>розрахунок витрат на запровадження державного регулювання для суб’єктів малого проводився згідно з М-Тестом (додається) не проводився.</w:t>
      </w:r>
    </w:p>
    <w:p w:rsidR="005D60DF" w:rsidRDefault="005D60DF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734824" w:rsidRPr="005D6A11" w:rsidRDefault="00734824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VII. Обґрунтування запропонованого строку дії регуляторного акта</w:t>
      </w:r>
    </w:p>
    <w:p w:rsidR="00734824" w:rsidRPr="005D6A11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color w:val="000000"/>
          <w:sz w:val="28"/>
          <w:szCs w:val="28"/>
        </w:rPr>
      </w:pPr>
      <w:bookmarkStart w:id="48" w:name="n168"/>
      <w:bookmarkStart w:id="49" w:name="n167"/>
      <w:bookmarkEnd w:id="48"/>
      <w:bookmarkEnd w:id="49"/>
      <w:r w:rsidRPr="005D6A11">
        <w:rPr>
          <w:bCs/>
          <w:color w:val="000000"/>
          <w:sz w:val="28"/>
          <w:szCs w:val="28"/>
        </w:rPr>
        <w:t>Термін дії нормативно-правового акта не</w:t>
      </w:r>
      <w:r w:rsidR="00BF389B">
        <w:rPr>
          <w:bCs/>
          <w:color w:val="000000"/>
          <w:sz w:val="28"/>
          <w:szCs w:val="28"/>
        </w:rPr>
        <w:t xml:space="preserve"> </w:t>
      </w:r>
      <w:r w:rsidRPr="005D6A11">
        <w:rPr>
          <w:bCs/>
          <w:color w:val="000000"/>
          <w:sz w:val="28"/>
          <w:szCs w:val="28"/>
        </w:rPr>
        <w:t>обмежений у часі.</w:t>
      </w:r>
    </w:p>
    <w:p w:rsidR="00734824" w:rsidRPr="005D6A11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5D6A11">
        <w:rPr>
          <w:bCs/>
          <w:color w:val="000000"/>
          <w:sz w:val="28"/>
          <w:szCs w:val="28"/>
        </w:rPr>
        <w:t>Термін набрання чинності регуляторним актом – відповідно до вимог законодавства після його офіційного оприлюднення.</w:t>
      </w:r>
    </w:p>
    <w:p w:rsidR="00734824" w:rsidRPr="009F3737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color w:val="000000"/>
          <w:sz w:val="12"/>
          <w:szCs w:val="12"/>
        </w:rPr>
      </w:pPr>
    </w:p>
    <w:p w:rsidR="00734824" w:rsidRPr="005D6A11" w:rsidRDefault="00734824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VIII. Визначення показників результативності дії регуляторного акта</w:t>
      </w:r>
    </w:p>
    <w:p w:rsidR="00734824" w:rsidRPr="005D6A11" w:rsidRDefault="00734824" w:rsidP="00734824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Показниками результативності регуляторного акта є:</w:t>
      </w:r>
    </w:p>
    <w:p w:rsidR="00734824" w:rsidRPr="0052013D" w:rsidRDefault="00734824" w:rsidP="00734824">
      <w:pPr>
        <w:pStyle w:val="rvps2"/>
        <w:numPr>
          <w:ilvl w:val="0"/>
          <w:numId w:val="7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r w:rsidRPr="0052013D">
        <w:rPr>
          <w:color w:val="000000"/>
          <w:sz w:val="28"/>
          <w:szCs w:val="28"/>
        </w:rPr>
        <w:t xml:space="preserve">розмір надходжень до державного та місцевих бюджетів і державних цільових фондів, пов’язаних з дією акта – </w:t>
      </w:r>
      <w:r>
        <w:rPr>
          <w:color w:val="000000"/>
          <w:sz w:val="28"/>
          <w:szCs w:val="28"/>
        </w:rPr>
        <w:t>не передбачається</w:t>
      </w:r>
      <w:r w:rsidRPr="0052013D">
        <w:rPr>
          <w:color w:val="000000"/>
          <w:sz w:val="28"/>
          <w:szCs w:val="28"/>
        </w:rPr>
        <w:t>;</w:t>
      </w:r>
    </w:p>
    <w:p w:rsidR="00734824" w:rsidRPr="0052013D" w:rsidRDefault="00734824" w:rsidP="00734824">
      <w:pPr>
        <w:pStyle w:val="rvps2"/>
        <w:numPr>
          <w:ilvl w:val="0"/>
          <w:numId w:val="7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50" w:name="n36"/>
      <w:bookmarkEnd w:id="50"/>
      <w:r w:rsidRPr="0052013D">
        <w:rPr>
          <w:color w:val="000000"/>
          <w:sz w:val="28"/>
          <w:szCs w:val="28"/>
        </w:rPr>
        <w:t xml:space="preserve">кількість суб’єктів господарювання, на яких поширюватиметься дія </w:t>
      </w:r>
      <w:r w:rsidR="00C830EA">
        <w:rPr>
          <w:color w:val="000000"/>
          <w:sz w:val="28"/>
          <w:szCs w:val="28"/>
        </w:rPr>
        <w:t xml:space="preserve">            </w:t>
      </w:r>
      <w:r w:rsidRPr="0052013D">
        <w:rPr>
          <w:color w:val="000000"/>
          <w:sz w:val="28"/>
          <w:szCs w:val="28"/>
        </w:rPr>
        <w:t xml:space="preserve">акта – </w:t>
      </w:r>
      <w:r w:rsidR="00C830EA">
        <w:rPr>
          <w:color w:val="000000"/>
          <w:sz w:val="28"/>
          <w:szCs w:val="28"/>
        </w:rPr>
        <w:t>4</w:t>
      </w:r>
      <w:r w:rsidR="009A56E6">
        <w:rPr>
          <w:color w:val="000000"/>
          <w:sz w:val="28"/>
          <w:szCs w:val="28"/>
        </w:rPr>
        <w:t>9</w:t>
      </w:r>
      <w:r w:rsidR="00C830EA">
        <w:rPr>
          <w:color w:val="000000"/>
          <w:sz w:val="28"/>
          <w:szCs w:val="28"/>
        </w:rPr>
        <w:t xml:space="preserve"> </w:t>
      </w:r>
      <w:r w:rsidRPr="0052013D">
        <w:rPr>
          <w:color w:val="000000"/>
          <w:sz w:val="28"/>
          <w:szCs w:val="28"/>
        </w:rPr>
        <w:t>суб’єкт</w:t>
      </w:r>
      <w:r w:rsidR="009A56E6">
        <w:rPr>
          <w:color w:val="000000"/>
          <w:sz w:val="28"/>
          <w:szCs w:val="28"/>
        </w:rPr>
        <w:t>ів</w:t>
      </w:r>
      <w:r w:rsidRPr="0052013D">
        <w:rPr>
          <w:color w:val="000000"/>
          <w:sz w:val="28"/>
          <w:szCs w:val="28"/>
        </w:rPr>
        <w:t xml:space="preserve"> господарювання</w:t>
      </w:r>
      <w:r>
        <w:rPr>
          <w:color w:val="000000"/>
          <w:sz w:val="28"/>
          <w:szCs w:val="28"/>
        </w:rPr>
        <w:t xml:space="preserve"> станом на 01.0</w:t>
      </w:r>
      <w:r w:rsidR="00C830E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</w:t>
      </w:r>
      <w:r w:rsidR="00C830EA">
        <w:rPr>
          <w:color w:val="000000"/>
          <w:sz w:val="28"/>
          <w:szCs w:val="28"/>
        </w:rPr>
        <w:t>2</w:t>
      </w:r>
      <w:r w:rsidRPr="0052013D">
        <w:rPr>
          <w:color w:val="000000"/>
          <w:sz w:val="28"/>
          <w:szCs w:val="28"/>
        </w:rPr>
        <w:t>;</w:t>
      </w:r>
    </w:p>
    <w:p w:rsidR="00734824" w:rsidRPr="0052013D" w:rsidRDefault="00734824" w:rsidP="00734824">
      <w:pPr>
        <w:pStyle w:val="rvps2"/>
        <w:numPr>
          <w:ilvl w:val="0"/>
          <w:numId w:val="7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51" w:name="n37"/>
      <w:bookmarkEnd w:id="51"/>
      <w:r w:rsidRPr="0052013D">
        <w:rPr>
          <w:color w:val="000000"/>
          <w:sz w:val="28"/>
          <w:szCs w:val="28"/>
        </w:rPr>
        <w:t>розмір коштів і час, що витрачатимуться суб</w:t>
      </w:r>
      <w:r>
        <w:rPr>
          <w:color w:val="000000"/>
          <w:sz w:val="28"/>
          <w:szCs w:val="28"/>
        </w:rPr>
        <w:t>’</w:t>
      </w:r>
      <w:r w:rsidRPr="0052013D">
        <w:rPr>
          <w:color w:val="000000"/>
          <w:sz w:val="28"/>
          <w:szCs w:val="28"/>
        </w:rPr>
        <w:t>єктами господарювання, пов</w:t>
      </w:r>
      <w:r>
        <w:rPr>
          <w:color w:val="000000"/>
          <w:sz w:val="28"/>
          <w:szCs w:val="28"/>
        </w:rPr>
        <w:t>’</w:t>
      </w:r>
      <w:r w:rsidRPr="0052013D">
        <w:rPr>
          <w:color w:val="000000"/>
          <w:sz w:val="28"/>
          <w:szCs w:val="28"/>
        </w:rPr>
        <w:t>язаними з виконанням вимог акта –</w:t>
      </w:r>
      <w:r w:rsidR="00BF389B">
        <w:rPr>
          <w:color w:val="000000"/>
          <w:sz w:val="28"/>
          <w:szCs w:val="28"/>
        </w:rPr>
        <w:t xml:space="preserve"> </w:t>
      </w:r>
      <w:r w:rsidR="00D85E78">
        <w:rPr>
          <w:sz w:val="28"/>
          <w:szCs w:val="28"/>
        </w:rPr>
        <w:t>14,8</w:t>
      </w:r>
      <w:r w:rsidRPr="00D85E78">
        <w:rPr>
          <w:sz w:val="28"/>
          <w:szCs w:val="28"/>
        </w:rPr>
        <w:t xml:space="preserve"> млн. грн</w:t>
      </w:r>
      <w:r w:rsidRPr="0052013D">
        <w:rPr>
          <w:sz w:val="28"/>
          <w:szCs w:val="28"/>
        </w:rPr>
        <w:t xml:space="preserve"> на одного суб’єкта господарювання, що отримав ліцензію на провадження діяльності з організації та проведення аз</w:t>
      </w:r>
      <w:r>
        <w:rPr>
          <w:sz w:val="28"/>
          <w:szCs w:val="28"/>
        </w:rPr>
        <w:t>артних ігор</w:t>
      </w:r>
      <w:r w:rsidRPr="0052013D">
        <w:rPr>
          <w:color w:val="000000"/>
          <w:sz w:val="28"/>
          <w:szCs w:val="28"/>
        </w:rPr>
        <w:t>;</w:t>
      </w:r>
    </w:p>
    <w:p w:rsidR="00734824" w:rsidRPr="0052013D" w:rsidRDefault="00734824" w:rsidP="00734824">
      <w:pPr>
        <w:pStyle w:val="rvps2"/>
        <w:numPr>
          <w:ilvl w:val="0"/>
          <w:numId w:val="7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52" w:name="n38"/>
      <w:bookmarkEnd w:id="52"/>
      <w:r w:rsidRPr="0052013D">
        <w:rPr>
          <w:color w:val="000000"/>
          <w:sz w:val="28"/>
          <w:szCs w:val="28"/>
        </w:rPr>
        <w:t>рівень поінформованості суб’єктів господарювання з основних положень акта – високий;</w:t>
      </w:r>
    </w:p>
    <w:p w:rsidR="00734824" w:rsidRDefault="00734824" w:rsidP="00734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D6A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З метою забезпечення високого рівня поінформованості суб’єктів господарювання щодо основних положень цього акта Комісії з регулювання азартних ігор та лотерей забезпечено оприлюднення його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5D6A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</w:t>
      </w:r>
      <w:r w:rsidRPr="005D6A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тановленому законодавством порядку на офіційному вебсайті КРАІЛ</w:t>
      </w:r>
      <w:r w:rsidRPr="005D6A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hyperlink r:id="rId10" w:history="1">
        <w:r w:rsidRPr="005D6A11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https://gc.gov.ua/</w:t>
        </w:r>
      </w:hyperlink>
      <w:r w:rsidRPr="005D6A11">
        <w:rPr>
          <w:rFonts w:ascii="Times New Roman" w:hAnsi="Times New Roman" w:cs="Times New Roman"/>
          <w:color w:val="000000"/>
          <w:sz w:val="28"/>
          <w:szCs w:val="28"/>
          <w:lang w:val="uk-UA"/>
        </w:rPr>
        <w:t>) у розділі «</w:t>
      </w:r>
      <w:hyperlink r:id="rId11" w:history="1">
        <w:r w:rsidRPr="005D6A11">
          <w:rPr>
            <w:rFonts w:ascii="Times New Roman" w:hAnsi="Times New Roman" w:cs="Times New Roman"/>
            <w:color w:val="000000"/>
            <w:sz w:val="28"/>
            <w:szCs w:val="28"/>
            <w:lang w:val="uk-UA" w:eastAsia="uk-UA"/>
          </w:rPr>
          <w:t>Регуляторна діяльність та консультації з громадськістю</w:t>
        </w:r>
      </w:hyperlink>
      <w:r w:rsidRPr="005D6A1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C83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5D6A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734824" w:rsidRPr="005D6A11" w:rsidRDefault="00734824" w:rsidP="00734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D6A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Додатковими показниками результативності регуляторного акта є:</w:t>
      </w:r>
    </w:p>
    <w:p w:rsidR="00734824" w:rsidRPr="009A56E6" w:rsidRDefault="009A56E6" w:rsidP="009A56E6">
      <w:pPr>
        <w:pStyle w:val="1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A56E6">
        <w:rPr>
          <w:rFonts w:ascii="Times New Roman" w:hAnsi="Times New Roman" w:cs="Times New Roman"/>
          <w:sz w:val="28"/>
          <w:szCs w:val="28"/>
        </w:rPr>
        <w:t>кількість осіб, відносно яких в Реєстрі міститься інформація про обмеження доступу до гральних закладів та/або участі в азартних іграх</w:t>
      </w:r>
    </w:p>
    <w:p w:rsidR="009A56E6" w:rsidRPr="009A56E6" w:rsidRDefault="009A56E6" w:rsidP="009A56E6">
      <w:pPr>
        <w:pStyle w:val="1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кількість осіб, яких не допущено до участі в азартних іграх.</w:t>
      </w:r>
    </w:p>
    <w:p w:rsidR="009A56E6" w:rsidRPr="005D6A11" w:rsidRDefault="009A56E6" w:rsidP="009A56E6">
      <w:pPr>
        <w:pStyle w:val="1"/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4824" w:rsidRPr="005D6A11" w:rsidRDefault="00734824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9A56E6" w:rsidRPr="009A56E6" w:rsidRDefault="00734824" w:rsidP="009A56E6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53" w:name="n171"/>
      <w:bookmarkEnd w:id="53"/>
      <w:r w:rsidRPr="009A56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Відстеження результативності регуляторного акта здійснюватиметься шляхом аналізу статистичної інформації </w:t>
      </w:r>
      <w:r w:rsidR="009A56E6" w:rsidRPr="009A56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proofErr w:type="spellStart"/>
      <w:r w:rsidR="009A56E6" w:rsidRPr="009A56E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недопуску</w:t>
      </w:r>
      <w:proofErr w:type="spellEnd"/>
      <w:r w:rsidR="009A56E6" w:rsidRPr="009A56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56E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організаторами азартних ігор</w:t>
      </w:r>
      <w:r w:rsidR="009A56E6" w:rsidRPr="009A56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56E6" w:rsidRPr="009A56E6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 участі в азартних іграх осіб</w:t>
      </w:r>
      <w:r w:rsidR="00BF389B">
        <w:rPr>
          <w:rFonts w:ascii="Times New Roman" w:hAnsi="Times New Roman" w:cs="Times New Roman"/>
          <w:bCs/>
          <w:sz w:val="28"/>
          <w:szCs w:val="28"/>
          <w:lang w:val="uk-UA" w:eastAsia="uk-UA"/>
        </w:rPr>
        <w:t>,</w:t>
      </w:r>
      <w:r w:rsidR="009A56E6" w:rsidRPr="009A56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9A56E6" w:rsidRPr="009A5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відносно яких в Реєстрі осіб, яким обмежено доступ до гральних закладів та/або участь в азартних іграх</w:t>
      </w:r>
      <w:r w:rsidR="00BF38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9A56E6" w:rsidRPr="009A5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міститься інформація про обмеження доступу до гральних закладів та/або участі в а</w:t>
      </w:r>
      <w:r w:rsidR="009A5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зартних іграх та осіб </w:t>
      </w:r>
      <w:r w:rsidR="009A56E6" w:rsidRPr="009A5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вираженою ігровою залежністю (лудоманією). </w:t>
      </w:r>
    </w:p>
    <w:p w:rsidR="00734824" w:rsidRPr="005D6A11" w:rsidRDefault="00734824" w:rsidP="0073482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Базове відстеження результативності здійснюватиметься через рік після набрання чинності цим регуляторним актом.</w:t>
      </w:r>
    </w:p>
    <w:p w:rsidR="00734824" w:rsidRPr="005D6A11" w:rsidRDefault="00734824" w:rsidP="00734824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Повторне відстеження результативності регуляторного акта здійснюватиметься через два роки від дня набрання ним чинності.</w:t>
      </w:r>
    </w:p>
    <w:p w:rsidR="00734824" w:rsidRPr="005D6A11" w:rsidRDefault="00734824" w:rsidP="00734824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Періодичне відстеження результативності регуляторного акта здійснюватиметься кожні три роки, починаючи з дня виконання заходів із повторного відстеження.</w:t>
      </w:r>
    </w:p>
    <w:p w:rsidR="00734824" w:rsidRPr="005D6A11" w:rsidRDefault="00734824" w:rsidP="00734824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 відстеження результативності – статистичний.</w:t>
      </w:r>
    </w:p>
    <w:p w:rsidR="00734824" w:rsidRPr="005D6A11" w:rsidRDefault="00734824" w:rsidP="00734824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Виконавець заходів з відстеження результативності – КРАІЛ.</w:t>
      </w:r>
    </w:p>
    <w:p w:rsidR="00734824" w:rsidRPr="005D6A11" w:rsidRDefault="00734824" w:rsidP="00734824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A11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виявлення під час здійснення заходів з відстеження результативності неврегульованих та проблемних питань, вони будуть вирішуватися шляхом внесення відповідних змін до регуляторного акта.</w:t>
      </w:r>
    </w:p>
    <w:p w:rsidR="00734824" w:rsidRPr="005D6A11" w:rsidRDefault="00734824" w:rsidP="00734824">
      <w:pPr>
        <w:spacing w:after="0" w:line="2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34824" w:rsidRDefault="00734824" w:rsidP="00734824">
      <w:pPr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34824" w:rsidRPr="00212B72" w:rsidRDefault="00212B72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12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В. о. Голови </w:t>
      </w:r>
      <w:r w:rsidR="00734824" w:rsidRPr="00212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Комісії з регулювання </w:t>
      </w:r>
    </w:p>
    <w:p w:rsidR="000F0D7A" w:rsidRDefault="00734824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12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азартних ігор та лотерей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="00212B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="00212B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           </w:t>
      </w:r>
      <w:r w:rsidR="00212B72" w:rsidRPr="00212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Олена ВОДОЛАЖКО</w:t>
      </w:r>
      <w:r w:rsidR="000F0D7A" w:rsidRPr="000F0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0F0D7A" w:rsidRDefault="000F0D7A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F0D7A" w:rsidRDefault="000F0D7A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F0D7A" w:rsidRDefault="000F0D7A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F0D7A" w:rsidRDefault="000F0D7A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F0D7A" w:rsidRDefault="000F0D7A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F0D7A" w:rsidRDefault="000F0D7A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F0D7A" w:rsidRDefault="000F0D7A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F0D7A" w:rsidRDefault="00A14CCE" w:rsidP="000F0D7A">
      <w:pPr>
        <w:suppressAutoHyphens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br w:type="page"/>
      </w:r>
    </w:p>
    <w:p w:rsidR="00A14CCE" w:rsidRDefault="00A14CCE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sectPr w:rsidR="00A14CCE" w:rsidSect="00A546CE">
          <w:headerReference w:type="default" r:id="rId12"/>
          <w:pgSz w:w="11906" w:h="16838"/>
          <w:pgMar w:top="1134" w:right="567" w:bottom="1701" w:left="1701" w:header="709" w:footer="720" w:gutter="0"/>
          <w:cols w:space="720"/>
          <w:titlePg/>
          <w:docGrid w:linePitch="360" w:charSpace="4096"/>
        </w:sectPr>
      </w:pPr>
    </w:p>
    <w:p w:rsidR="000F0D7A" w:rsidRPr="00F302F9" w:rsidRDefault="001852FC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ВИТРАТИ</w:t>
      </w:r>
      <w:bookmarkStart w:id="54" w:name="_GoBack"/>
      <w:bookmarkEnd w:id="54"/>
    </w:p>
    <w:p w:rsidR="000F0D7A" w:rsidRPr="00F302F9" w:rsidRDefault="000F0D7A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30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0F0D7A" w:rsidRPr="00F302F9" w:rsidRDefault="000F0D7A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30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(для суб’єктів господарювання, </w:t>
      </w:r>
      <w:r w:rsidRPr="00095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які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отримали ліцензію на провадження діяльності </w:t>
      </w:r>
      <w:r w:rsidRPr="00095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 організації та проведення азартних ігор у гральних закладах казино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,</w:t>
      </w:r>
      <w:r w:rsidRPr="00095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на провадження діяльності </w:t>
      </w:r>
      <w:r w:rsidRPr="00095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 організації та проведення азартних ігор у залах гральних автоматів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)</w:t>
      </w:r>
    </w:p>
    <w:p w:rsidR="000F0D7A" w:rsidRPr="00F302F9" w:rsidRDefault="000F0D7A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512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5"/>
        <w:gridCol w:w="4665"/>
        <w:gridCol w:w="1752"/>
        <w:gridCol w:w="1744"/>
      </w:tblGrid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55" w:name="n178"/>
            <w:bookmarkEnd w:id="55"/>
            <w:r w:rsidRPr="00A07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перший рік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п’ять років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  <w:r w:rsidRPr="00A07A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tabs>
                <w:tab w:val="left" w:pos="705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140 000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420 000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Витрати, пов’язані із наймом </w:t>
            </w: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додаткового персоналу,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8.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 w:righ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Інше,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РАЗОМ (сума рядків: 1 + 2 + 3 + 4 + 5),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  <w:r w:rsidRPr="00A07A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                  рядок 10),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3 780 000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11 340 000</w:t>
            </w:r>
          </w:p>
        </w:tc>
      </w:tr>
    </w:tbl>
    <w:p w:rsidR="000F0D7A" w:rsidRPr="00A739BD" w:rsidRDefault="000F0D7A" w:rsidP="000F0D7A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</w:p>
    <w:p w:rsidR="000F0D7A" w:rsidRPr="00DF720A" w:rsidRDefault="000F0D7A" w:rsidP="000F0D7A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* Розрахунок проводився, виходячи з в</w:t>
      </w:r>
      <w:r w:rsidRPr="00BF248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итрат на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придбання зчитувальних пристроїв для ідентифікаційної картки гравця, що дозволяють організатору азартних ігор </w:t>
      </w:r>
      <w:r w:rsidRPr="00DF720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визначити вік та ідентифікувати особу, у тому числі,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встанови</w:t>
      </w:r>
      <w:r w:rsidRPr="00DF720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ти особу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Pr="00DF720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щод</w:t>
      </w:r>
      <w:r w:rsidRPr="00DF720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 якої в Реєстрі міститься інформація про обмеження доступу до гральних закладів та/або участі в азартних іграх, яка є актуальною на дату проведення ідентифікації (верифікації)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Pr="00DF720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не допустити таку особу до участі в азартних іграх.</w:t>
      </w:r>
    </w:p>
    <w:p w:rsidR="000F0D7A" w:rsidRDefault="000F0D7A" w:rsidP="000F0D7A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Орієнтовна вартість зчитувального пристрою для ідентифікаційної картки гравця складає 7 тис грн.</w:t>
      </w:r>
    </w:p>
    <w:p w:rsidR="000F0D7A" w:rsidRDefault="000F0D7A" w:rsidP="000F0D7A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Орієнтовна кількість зчитувальних пристроїв для ідентифікаційної картки гравця, що плануються придбати одним суб’єктом господарювання за перший рік складе 20 шт.</w:t>
      </w:r>
    </w:p>
    <w:p w:rsidR="000F0D7A" w:rsidRDefault="000F0D7A" w:rsidP="000F0D7A">
      <w:pPr>
        <w:pStyle w:val="a8"/>
        <w:spacing w:after="0" w:line="20" w:lineRule="atLeast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Таким чином, витрати суб’єкта господарювання на придбання зчитувальних пристроїв складуть 7000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Х 20 шт. = 140 000 грн.</w:t>
      </w:r>
    </w:p>
    <w:p w:rsidR="000F0D7A" w:rsidRDefault="000F0D7A" w:rsidP="000F0D7A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Протягом наступних років кількість зчитувальних пристроїв для ідентифікаційної картки гравця, орієнтовно складе 10 шт. (на рік), а отже, витрати суб’єкта господарювання на придбання зчитувальних пристроїв для ідентифікаційної картки гравця, складуть 70 000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грн</w:t>
      </w:r>
      <w:proofErr w:type="spellEnd"/>
      <w:r w:rsidRPr="00C75D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(7000 грн. Х 10 шт.) (на рік) та відповідно 420 000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(за п’ять років) (140 000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 перший рік) + 280 000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(70 000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Х чотири наступні роки). </w:t>
      </w:r>
    </w:p>
    <w:p w:rsidR="000F0D7A" w:rsidRPr="00A739BD" w:rsidRDefault="000F0D7A" w:rsidP="000F0D7A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12"/>
          <w:szCs w:val="12"/>
          <w:lang w:val="uk-UA"/>
        </w:rPr>
      </w:pPr>
    </w:p>
    <w:p w:rsidR="000F0D7A" w:rsidRDefault="000F0D7A" w:rsidP="000F0D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** Кількість </w:t>
      </w:r>
      <w:r w:rsidRPr="00EA359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суб’єктів господарювання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які </w:t>
      </w:r>
      <w:r w:rsidRPr="000D1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отримали ліцензію на провадження діяльності з організації та проведення азартних ігор у гральних закладах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станом на 01.06.2022, та можуть обрати</w:t>
      </w:r>
      <w:r w:rsidRPr="000D1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застосування ідентифікаційної картки як метод верифікації гравців.</w:t>
      </w:r>
    </w:p>
    <w:p w:rsidR="000F0D7A" w:rsidRDefault="000F0D7A" w:rsidP="000F0D7A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Зчитувальні пристрої застосовується організаторами азартних ігор, які здійснюють діяльність з організації та проведення азартних ігор у гральних закладах казино, організаторами азартних ігор, які здійснюють діяльність з організації та проведення азартних ігор у залах гральних автоматів (12 суб’єктів господарювання),тобто, в наземних гральних закладах.</w:t>
      </w:r>
    </w:p>
    <w:p w:rsidR="000F0D7A" w:rsidRDefault="000F0D7A" w:rsidP="000F0D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0F0D7A" w:rsidRDefault="000F0D7A" w:rsidP="000F0D7A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0F0D7A" w:rsidRDefault="000F0D7A" w:rsidP="000F0D7A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0F0D7A" w:rsidRDefault="000F0D7A" w:rsidP="000F0D7A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0F0D7A" w:rsidRDefault="000F0D7A" w:rsidP="000F0D7A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0F0D7A" w:rsidRDefault="000F0D7A" w:rsidP="000F0D7A">
      <w:pPr>
        <w:suppressAutoHyphens w:val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br w:type="page"/>
      </w:r>
    </w:p>
    <w:p w:rsidR="001852FC" w:rsidRDefault="001852FC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sectPr w:rsidR="001852FC" w:rsidSect="00A14CCE">
          <w:pgSz w:w="11906" w:h="16838"/>
          <w:pgMar w:top="1134" w:right="567" w:bottom="1701" w:left="1701" w:header="709" w:footer="720" w:gutter="0"/>
          <w:pgNumType w:start="1"/>
          <w:cols w:space="720"/>
          <w:titlePg/>
          <w:docGrid w:linePitch="360" w:charSpace="4096"/>
        </w:sectPr>
      </w:pPr>
    </w:p>
    <w:p w:rsidR="000F0D7A" w:rsidRPr="00F302F9" w:rsidRDefault="000F0D7A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0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 xml:space="preserve">ВИТРАТИ  </w:t>
      </w:r>
    </w:p>
    <w:p w:rsidR="000F0D7A" w:rsidRPr="00F302F9" w:rsidRDefault="000F0D7A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30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0F0D7A" w:rsidRPr="00F411DC" w:rsidRDefault="000F0D7A" w:rsidP="000F0D7A">
      <w:pPr>
        <w:tabs>
          <w:tab w:val="left" w:pos="709"/>
        </w:tabs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30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(для суб’єктів господарювання, що отримали ліцензію на провадження діяльності з організації та проведення азартних ігор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казино в мережі Інтернет, на провадження діяльності </w:t>
      </w:r>
      <w:r w:rsidRPr="00F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 організації та проведення азартних ігор у покер у мережі Інтернет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, на провадження діяльності з організації та </w:t>
      </w:r>
      <w:r w:rsidRPr="00F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проведення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букмекерської діяльності)</w:t>
      </w:r>
    </w:p>
    <w:p w:rsidR="000F0D7A" w:rsidRPr="00F302F9" w:rsidRDefault="000F0D7A" w:rsidP="000F0D7A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512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5"/>
        <w:gridCol w:w="4665"/>
        <w:gridCol w:w="1752"/>
        <w:gridCol w:w="1744"/>
      </w:tblGrid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перший рік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п’ять років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  <w:r w:rsidRPr="00A07A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tabs>
                <w:tab w:val="left" w:pos="705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 w:righ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Інше,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РАЗОМ (сума рядків: 1 + 2 + 3 + 4 + 5),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  <w:r w:rsidRPr="00A07A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0F0D7A" w:rsidRPr="00A07A5C" w:rsidTr="000910E7">
        <w:trPr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                  рядок 10),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11 000 000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7A" w:rsidRPr="00A07A5C" w:rsidRDefault="000F0D7A" w:rsidP="000910E7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0F0D7A" w:rsidRPr="0029077A" w:rsidRDefault="000F0D7A" w:rsidP="000F0D7A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</w:p>
    <w:p w:rsidR="000F0D7A" w:rsidRPr="00DF720A" w:rsidRDefault="000F0D7A" w:rsidP="000F0D7A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* Розрахунок проводився, виходячи з в</w:t>
      </w:r>
      <w:r w:rsidRPr="00BF248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итрат на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придбання мобільного додатку для застосування</w:t>
      </w:r>
      <w:r w:rsidRPr="00F727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ідентифікаційн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ої</w:t>
      </w:r>
      <w:r w:rsidRPr="00F727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картк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</w:t>
      </w:r>
      <w:r w:rsidRPr="00F727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гравця в електронному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вигляді, що дозволяє організатору азартних ігор </w:t>
      </w:r>
      <w:r w:rsidRPr="00DF720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визначити вік та ідентифікувати особу, у тому числі, визначити особу відносно якої в Реєстрі міститься інформація про обмеження доступу до гральних закладів та/або участі в азартних іграх, яка є актуальною на дату проведення ідентифікації (верифікації) та не допустити таку особу до участі в азартних іграх.</w:t>
      </w:r>
    </w:p>
    <w:p w:rsidR="000F0D7A" w:rsidRDefault="000F0D7A" w:rsidP="000F0D7A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Орієнтовна вартість </w:t>
      </w:r>
      <w:r w:rsidRPr="00F727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придбання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такого </w:t>
      </w:r>
      <w:r w:rsidRPr="00F727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мобільного додатку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може </w:t>
      </w:r>
      <w:r w:rsidRPr="00F727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скла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сти</w:t>
      </w:r>
      <w:r w:rsidRPr="00F727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500 000 грн.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0F0D7A" w:rsidRDefault="000F0D7A" w:rsidP="000F0D7A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Витрати є одноразовими.</w:t>
      </w:r>
    </w:p>
    <w:p w:rsidR="000F0D7A" w:rsidRPr="0029077A" w:rsidRDefault="000F0D7A" w:rsidP="000F0D7A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12"/>
          <w:szCs w:val="12"/>
          <w:lang w:val="uk-UA"/>
        </w:rPr>
      </w:pPr>
    </w:p>
    <w:p w:rsidR="000F0D7A" w:rsidRDefault="000F0D7A" w:rsidP="000F0D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** Кількість </w:t>
      </w:r>
      <w:r w:rsidRPr="00EA359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суб’єктів господарювання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які </w:t>
      </w:r>
      <w:r w:rsidRPr="000D1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отримали ліцензію на провадження діяльності з організації та проведення азартних ігор у гральних закладах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станом на 01.06.2022, та можуть обрати</w:t>
      </w:r>
      <w:r w:rsidRPr="000D11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застосування ідентифікаційної картки як метод верифікації гравців.</w:t>
      </w:r>
    </w:p>
    <w:p w:rsidR="000F0D7A" w:rsidRDefault="000F0D7A" w:rsidP="000F0D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Зазначений мобільний додаток застосовується суб’єктами господарювання, які здійснюють діяльність з організації та проведення азартних ігор казино в мережі Інтернет, організаторами азартних ігор, які здійснюють діяльність з організації та проведення азартних ігор у покер у мережі Інтернет, а також  організації та проведення букмекерської діяльності.</w:t>
      </w:r>
    </w:p>
    <w:p w:rsidR="000B4534" w:rsidRPr="00F712D5" w:rsidRDefault="00734824" w:rsidP="00212B72">
      <w:pPr>
        <w:spacing w:after="0" w:line="20" w:lineRule="atLeast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</w:p>
    <w:sectPr w:rsidR="000B4534" w:rsidRPr="00F712D5" w:rsidSect="00A14CCE">
      <w:pgSz w:w="11906" w:h="16838"/>
      <w:pgMar w:top="1134" w:right="567" w:bottom="1701" w:left="1701" w:header="709" w:footer="720" w:gutter="0"/>
      <w:pgNumType w:start="1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B7" w:rsidRDefault="000D3BB7">
      <w:pPr>
        <w:spacing w:after="0" w:line="240" w:lineRule="auto"/>
      </w:pPr>
      <w:r>
        <w:separator/>
      </w:r>
    </w:p>
  </w:endnote>
  <w:endnote w:type="continuationSeparator" w:id="0">
    <w:p w:rsidR="000D3BB7" w:rsidRDefault="000D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4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B7" w:rsidRDefault="000D3BB7">
      <w:pPr>
        <w:spacing w:after="0" w:line="240" w:lineRule="auto"/>
      </w:pPr>
      <w:r>
        <w:separator/>
      </w:r>
    </w:p>
  </w:footnote>
  <w:footnote w:type="continuationSeparator" w:id="0">
    <w:p w:rsidR="000D3BB7" w:rsidRDefault="000D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989071"/>
      <w:docPartObj>
        <w:docPartGallery w:val="Page Numbers (Top of Page)"/>
        <w:docPartUnique/>
      </w:docPartObj>
    </w:sdtPr>
    <w:sdtContent>
      <w:p w:rsidR="000F0D7A" w:rsidRDefault="000F0D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2FC">
          <w:rPr>
            <w:noProof/>
          </w:rPr>
          <w:t>4</w:t>
        </w:r>
        <w:r>
          <w:fldChar w:fldCharType="end"/>
        </w:r>
      </w:p>
    </w:sdtContent>
  </w:sdt>
  <w:p w:rsidR="000F0D7A" w:rsidRDefault="000F0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2A9"/>
    <w:multiLevelType w:val="hybridMultilevel"/>
    <w:tmpl w:val="1F4AD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D72FC"/>
    <w:multiLevelType w:val="hybridMultilevel"/>
    <w:tmpl w:val="60704760"/>
    <w:lvl w:ilvl="0" w:tplc="200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>
    <w:nsid w:val="0B032DE0"/>
    <w:multiLevelType w:val="hybridMultilevel"/>
    <w:tmpl w:val="374E1CAA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166015B1"/>
    <w:multiLevelType w:val="hybridMultilevel"/>
    <w:tmpl w:val="D22454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6CAC"/>
    <w:multiLevelType w:val="hybridMultilevel"/>
    <w:tmpl w:val="84D8E6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A6C1F"/>
    <w:multiLevelType w:val="hybridMultilevel"/>
    <w:tmpl w:val="5BD200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576BC"/>
    <w:multiLevelType w:val="hybridMultilevel"/>
    <w:tmpl w:val="BAA8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05B8B"/>
    <w:multiLevelType w:val="hybridMultilevel"/>
    <w:tmpl w:val="7B5AAE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B4C53"/>
    <w:multiLevelType w:val="hybridMultilevel"/>
    <w:tmpl w:val="A558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FB41FF"/>
    <w:multiLevelType w:val="hybridMultilevel"/>
    <w:tmpl w:val="45505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4339AD"/>
    <w:multiLevelType w:val="hybridMultilevel"/>
    <w:tmpl w:val="CCC4FFD8"/>
    <w:lvl w:ilvl="0" w:tplc="200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>
    <w:nsid w:val="4E402943"/>
    <w:multiLevelType w:val="hybridMultilevel"/>
    <w:tmpl w:val="A0DCC7CC"/>
    <w:lvl w:ilvl="0" w:tplc="2000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8F4BF7"/>
    <w:multiLevelType w:val="hybridMultilevel"/>
    <w:tmpl w:val="2030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07FEA"/>
    <w:multiLevelType w:val="hybridMultilevel"/>
    <w:tmpl w:val="192E7434"/>
    <w:lvl w:ilvl="0" w:tplc="1FAC6BC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A3E23C1"/>
    <w:multiLevelType w:val="hybridMultilevel"/>
    <w:tmpl w:val="C11E4F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47E5F"/>
    <w:multiLevelType w:val="hybridMultilevel"/>
    <w:tmpl w:val="CA2A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02243"/>
    <w:multiLevelType w:val="hybridMultilevel"/>
    <w:tmpl w:val="460834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1659B"/>
    <w:multiLevelType w:val="hybridMultilevel"/>
    <w:tmpl w:val="28B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21949"/>
    <w:multiLevelType w:val="hybridMultilevel"/>
    <w:tmpl w:val="60286B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0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17"/>
  </w:num>
  <w:num w:numId="10">
    <w:abstractNumId w:val="5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8"/>
  </w:num>
  <w:num w:numId="16">
    <w:abstractNumId w:val="2"/>
  </w:num>
  <w:num w:numId="17">
    <w:abstractNumId w:val="11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E6"/>
    <w:rsid w:val="0001708D"/>
    <w:rsid w:val="00046AD4"/>
    <w:rsid w:val="00051481"/>
    <w:rsid w:val="00051560"/>
    <w:rsid w:val="00055157"/>
    <w:rsid w:val="00055A0C"/>
    <w:rsid w:val="00066B25"/>
    <w:rsid w:val="00075033"/>
    <w:rsid w:val="0007610E"/>
    <w:rsid w:val="00081D75"/>
    <w:rsid w:val="00091861"/>
    <w:rsid w:val="00094678"/>
    <w:rsid w:val="00097952"/>
    <w:rsid w:val="000A64FA"/>
    <w:rsid w:val="000B0893"/>
    <w:rsid w:val="000B4534"/>
    <w:rsid w:val="000B52E3"/>
    <w:rsid w:val="000C3C5D"/>
    <w:rsid w:val="000D3BB7"/>
    <w:rsid w:val="000D7230"/>
    <w:rsid w:val="000E5151"/>
    <w:rsid w:val="000E6125"/>
    <w:rsid w:val="000E66DA"/>
    <w:rsid w:val="000F0D7A"/>
    <w:rsid w:val="00104F9D"/>
    <w:rsid w:val="00120536"/>
    <w:rsid w:val="0012401B"/>
    <w:rsid w:val="0013158E"/>
    <w:rsid w:val="00136910"/>
    <w:rsid w:val="001519DA"/>
    <w:rsid w:val="00155C5C"/>
    <w:rsid w:val="001612A9"/>
    <w:rsid w:val="00170BFA"/>
    <w:rsid w:val="001846D4"/>
    <w:rsid w:val="001852FC"/>
    <w:rsid w:val="0018714A"/>
    <w:rsid w:val="00193CAA"/>
    <w:rsid w:val="00196D7E"/>
    <w:rsid w:val="001A0298"/>
    <w:rsid w:val="001B0DD2"/>
    <w:rsid w:val="001B44F4"/>
    <w:rsid w:val="001C5DC4"/>
    <w:rsid w:val="001E5E78"/>
    <w:rsid w:val="001E6347"/>
    <w:rsid w:val="001F0BA9"/>
    <w:rsid w:val="001F6889"/>
    <w:rsid w:val="001F6B20"/>
    <w:rsid w:val="00202514"/>
    <w:rsid w:val="002045DA"/>
    <w:rsid w:val="00212B72"/>
    <w:rsid w:val="002303DF"/>
    <w:rsid w:val="002331A8"/>
    <w:rsid w:val="002333F5"/>
    <w:rsid w:val="0023421D"/>
    <w:rsid w:val="00247DA9"/>
    <w:rsid w:val="002525FA"/>
    <w:rsid w:val="002713D8"/>
    <w:rsid w:val="0027639A"/>
    <w:rsid w:val="00280BA0"/>
    <w:rsid w:val="00294BE8"/>
    <w:rsid w:val="002A03E5"/>
    <w:rsid w:val="002A2FBD"/>
    <w:rsid w:val="002B12AC"/>
    <w:rsid w:val="002B18E4"/>
    <w:rsid w:val="002B294D"/>
    <w:rsid w:val="002B49D0"/>
    <w:rsid w:val="002B57DA"/>
    <w:rsid w:val="002B6BAE"/>
    <w:rsid w:val="002E4A6E"/>
    <w:rsid w:val="0030702E"/>
    <w:rsid w:val="00321133"/>
    <w:rsid w:val="003237FE"/>
    <w:rsid w:val="00340468"/>
    <w:rsid w:val="003426CB"/>
    <w:rsid w:val="00347CCE"/>
    <w:rsid w:val="00353CE5"/>
    <w:rsid w:val="00360EC1"/>
    <w:rsid w:val="00365EE6"/>
    <w:rsid w:val="00373306"/>
    <w:rsid w:val="0038026E"/>
    <w:rsid w:val="003808D8"/>
    <w:rsid w:val="00380D64"/>
    <w:rsid w:val="00392DF7"/>
    <w:rsid w:val="00395127"/>
    <w:rsid w:val="003967A5"/>
    <w:rsid w:val="00396C9E"/>
    <w:rsid w:val="003C1940"/>
    <w:rsid w:val="003C5DFA"/>
    <w:rsid w:val="003D7492"/>
    <w:rsid w:val="003D78B8"/>
    <w:rsid w:val="003E7AFC"/>
    <w:rsid w:val="003F0EB7"/>
    <w:rsid w:val="003F3C40"/>
    <w:rsid w:val="00403B13"/>
    <w:rsid w:val="00404A19"/>
    <w:rsid w:val="00413430"/>
    <w:rsid w:val="00426C00"/>
    <w:rsid w:val="00432066"/>
    <w:rsid w:val="00446D14"/>
    <w:rsid w:val="00451957"/>
    <w:rsid w:val="00453E91"/>
    <w:rsid w:val="00454892"/>
    <w:rsid w:val="004A1A64"/>
    <w:rsid w:val="004A4E13"/>
    <w:rsid w:val="004A4E71"/>
    <w:rsid w:val="004B0920"/>
    <w:rsid w:val="004B2408"/>
    <w:rsid w:val="004B28DC"/>
    <w:rsid w:val="004B77D3"/>
    <w:rsid w:val="004C1790"/>
    <w:rsid w:val="004C35D8"/>
    <w:rsid w:val="004C4174"/>
    <w:rsid w:val="004F0064"/>
    <w:rsid w:val="005059BA"/>
    <w:rsid w:val="00506879"/>
    <w:rsid w:val="00523DD9"/>
    <w:rsid w:val="005251DE"/>
    <w:rsid w:val="00531F24"/>
    <w:rsid w:val="00553E81"/>
    <w:rsid w:val="00556608"/>
    <w:rsid w:val="00560988"/>
    <w:rsid w:val="005717D1"/>
    <w:rsid w:val="00571A7A"/>
    <w:rsid w:val="00580AAD"/>
    <w:rsid w:val="00590EF3"/>
    <w:rsid w:val="005A279F"/>
    <w:rsid w:val="005B1465"/>
    <w:rsid w:val="005B20C7"/>
    <w:rsid w:val="005B5DA7"/>
    <w:rsid w:val="005D507C"/>
    <w:rsid w:val="005D60DF"/>
    <w:rsid w:val="005F6D03"/>
    <w:rsid w:val="006014D0"/>
    <w:rsid w:val="00607D65"/>
    <w:rsid w:val="0061729E"/>
    <w:rsid w:val="00623B32"/>
    <w:rsid w:val="00631A98"/>
    <w:rsid w:val="00642749"/>
    <w:rsid w:val="00642891"/>
    <w:rsid w:val="0067114C"/>
    <w:rsid w:val="00676E69"/>
    <w:rsid w:val="00680340"/>
    <w:rsid w:val="00682BA1"/>
    <w:rsid w:val="00684B26"/>
    <w:rsid w:val="00697E65"/>
    <w:rsid w:val="006A2150"/>
    <w:rsid w:val="006B054C"/>
    <w:rsid w:val="006B5E8D"/>
    <w:rsid w:val="006C1755"/>
    <w:rsid w:val="006C6CF7"/>
    <w:rsid w:val="006E2010"/>
    <w:rsid w:val="006E5D2C"/>
    <w:rsid w:val="006F0B19"/>
    <w:rsid w:val="006F4874"/>
    <w:rsid w:val="00706D43"/>
    <w:rsid w:val="00720D5E"/>
    <w:rsid w:val="007253E6"/>
    <w:rsid w:val="00726372"/>
    <w:rsid w:val="00727473"/>
    <w:rsid w:val="00734824"/>
    <w:rsid w:val="00744397"/>
    <w:rsid w:val="00753012"/>
    <w:rsid w:val="00763188"/>
    <w:rsid w:val="0076767D"/>
    <w:rsid w:val="00775499"/>
    <w:rsid w:val="00775E5F"/>
    <w:rsid w:val="00782A6E"/>
    <w:rsid w:val="00787186"/>
    <w:rsid w:val="00791109"/>
    <w:rsid w:val="00793102"/>
    <w:rsid w:val="007A7D38"/>
    <w:rsid w:val="007B6579"/>
    <w:rsid w:val="007B73AD"/>
    <w:rsid w:val="007C2E19"/>
    <w:rsid w:val="007C57DF"/>
    <w:rsid w:val="007D067F"/>
    <w:rsid w:val="007F0872"/>
    <w:rsid w:val="008022A9"/>
    <w:rsid w:val="008179BD"/>
    <w:rsid w:val="008203CA"/>
    <w:rsid w:val="00833E5F"/>
    <w:rsid w:val="008340E0"/>
    <w:rsid w:val="00852BC1"/>
    <w:rsid w:val="00856E89"/>
    <w:rsid w:val="00857720"/>
    <w:rsid w:val="0086712C"/>
    <w:rsid w:val="008675A9"/>
    <w:rsid w:val="0087424C"/>
    <w:rsid w:val="00883B12"/>
    <w:rsid w:val="008868A6"/>
    <w:rsid w:val="00887471"/>
    <w:rsid w:val="008911DC"/>
    <w:rsid w:val="008A0CA7"/>
    <w:rsid w:val="008A6476"/>
    <w:rsid w:val="008B0D84"/>
    <w:rsid w:val="008B7968"/>
    <w:rsid w:val="008C6C4F"/>
    <w:rsid w:val="008E78B6"/>
    <w:rsid w:val="008F0DA6"/>
    <w:rsid w:val="009040A8"/>
    <w:rsid w:val="009061A2"/>
    <w:rsid w:val="0090683C"/>
    <w:rsid w:val="0092197F"/>
    <w:rsid w:val="00926701"/>
    <w:rsid w:val="009462C8"/>
    <w:rsid w:val="00955DB1"/>
    <w:rsid w:val="00964A17"/>
    <w:rsid w:val="00965BD4"/>
    <w:rsid w:val="0097109D"/>
    <w:rsid w:val="009711B8"/>
    <w:rsid w:val="009772B5"/>
    <w:rsid w:val="009A56E6"/>
    <w:rsid w:val="009A662D"/>
    <w:rsid w:val="009B4C82"/>
    <w:rsid w:val="009B5075"/>
    <w:rsid w:val="009C772F"/>
    <w:rsid w:val="009D1502"/>
    <w:rsid w:val="009E69F0"/>
    <w:rsid w:val="00A03EDE"/>
    <w:rsid w:val="00A14CCE"/>
    <w:rsid w:val="00A21258"/>
    <w:rsid w:val="00A257DC"/>
    <w:rsid w:val="00A35376"/>
    <w:rsid w:val="00A50F58"/>
    <w:rsid w:val="00A546CE"/>
    <w:rsid w:val="00A80A62"/>
    <w:rsid w:val="00A84C7F"/>
    <w:rsid w:val="00A9087A"/>
    <w:rsid w:val="00A9232A"/>
    <w:rsid w:val="00A974EC"/>
    <w:rsid w:val="00AA6D15"/>
    <w:rsid w:val="00AA74DB"/>
    <w:rsid w:val="00AB46DF"/>
    <w:rsid w:val="00AC1B5F"/>
    <w:rsid w:val="00AD3797"/>
    <w:rsid w:val="00B10AAE"/>
    <w:rsid w:val="00B12875"/>
    <w:rsid w:val="00B14D66"/>
    <w:rsid w:val="00B1769C"/>
    <w:rsid w:val="00B20124"/>
    <w:rsid w:val="00B30040"/>
    <w:rsid w:val="00B42B3B"/>
    <w:rsid w:val="00B46266"/>
    <w:rsid w:val="00B54722"/>
    <w:rsid w:val="00B62C7A"/>
    <w:rsid w:val="00B6449D"/>
    <w:rsid w:val="00B71E2E"/>
    <w:rsid w:val="00B74F1C"/>
    <w:rsid w:val="00B7542B"/>
    <w:rsid w:val="00B80D26"/>
    <w:rsid w:val="00B82DE0"/>
    <w:rsid w:val="00B91AA9"/>
    <w:rsid w:val="00B953C0"/>
    <w:rsid w:val="00B9551B"/>
    <w:rsid w:val="00BB0314"/>
    <w:rsid w:val="00BB5B2E"/>
    <w:rsid w:val="00BC082C"/>
    <w:rsid w:val="00BC1B48"/>
    <w:rsid w:val="00BC303A"/>
    <w:rsid w:val="00BD16C2"/>
    <w:rsid w:val="00BD7DD0"/>
    <w:rsid w:val="00BE5D48"/>
    <w:rsid w:val="00BE6DAE"/>
    <w:rsid w:val="00BF1556"/>
    <w:rsid w:val="00BF389B"/>
    <w:rsid w:val="00BF4C98"/>
    <w:rsid w:val="00C36AD3"/>
    <w:rsid w:val="00C42DCE"/>
    <w:rsid w:val="00C45A85"/>
    <w:rsid w:val="00C5240D"/>
    <w:rsid w:val="00C52986"/>
    <w:rsid w:val="00C62B4D"/>
    <w:rsid w:val="00C63D67"/>
    <w:rsid w:val="00C7375A"/>
    <w:rsid w:val="00C830EA"/>
    <w:rsid w:val="00C84274"/>
    <w:rsid w:val="00C90730"/>
    <w:rsid w:val="00C93428"/>
    <w:rsid w:val="00C974DF"/>
    <w:rsid w:val="00CA0AC4"/>
    <w:rsid w:val="00CA66B2"/>
    <w:rsid w:val="00CB2893"/>
    <w:rsid w:val="00CC2EDE"/>
    <w:rsid w:val="00CC6A67"/>
    <w:rsid w:val="00CF00DE"/>
    <w:rsid w:val="00CF31CD"/>
    <w:rsid w:val="00D21B3F"/>
    <w:rsid w:val="00D2739E"/>
    <w:rsid w:val="00D3152A"/>
    <w:rsid w:val="00D55C49"/>
    <w:rsid w:val="00D73296"/>
    <w:rsid w:val="00D743B5"/>
    <w:rsid w:val="00D85E78"/>
    <w:rsid w:val="00D86EAC"/>
    <w:rsid w:val="00DA0062"/>
    <w:rsid w:val="00DA1FE6"/>
    <w:rsid w:val="00DB0237"/>
    <w:rsid w:val="00DB471D"/>
    <w:rsid w:val="00DC1801"/>
    <w:rsid w:val="00DD1034"/>
    <w:rsid w:val="00DD4468"/>
    <w:rsid w:val="00DD7755"/>
    <w:rsid w:val="00DF3859"/>
    <w:rsid w:val="00E0530E"/>
    <w:rsid w:val="00E36F8A"/>
    <w:rsid w:val="00E37A97"/>
    <w:rsid w:val="00E52453"/>
    <w:rsid w:val="00E61F21"/>
    <w:rsid w:val="00E65BAE"/>
    <w:rsid w:val="00E67368"/>
    <w:rsid w:val="00E71AC3"/>
    <w:rsid w:val="00E75B3D"/>
    <w:rsid w:val="00E92D0F"/>
    <w:rsid w:val="00E955FD"/>
    <w:rsid w:val="00E972DF"/>
    <w:rsid w:val="00EA386E"/>
    <w:rsid w:val="00EA5FFC"/>
    <w:rsid w:val="00EC00A5"/>
    <w:rsid w:val="00EC3200"/>
    <w:rsid w:val="00EC4223"/>
    <w:rsid w:val="00ED0D94"/>
    <w:rsid w:val="00EE1036"/>
    <w:rsid w:val="00EE347E"/>
    <w:rsid w:val="00EF1648"/>
    <w:rsid w:val="00EF30A9"/>
    <w:rsid w:val="00EF7A9A"/>
    <w:rsid w:val="00F04FB5"/>
    <w:rsid w:val="00F10867"/>
    <w:rsid w:val="00F12985"/>
    <w:rsid w:val="00F25090"/>
    <w:rsid w:val="00F3636F"/>
    <w:rsid w:val="00F36524"/>
    <w:rsid w:val="00F53AD3"/>
    <w:rsid w:val="00F55653"/>
    <w:rsid w:val="00F65F5D"/>
    <w:rsid w:val="00F712D5"/>
    <w:rsid w:val="00F7175B"/>
    <w:rsid w:val="00F73B08"/>
    <w:rsid w:val="00F74E1D"/>
    <w:rsid w:val="00F91EB8"/>
    <w:rsid w:val="00F937FB"/>
    <w:rsid w:val="00FD35E4"/>
    <w:rsid w:val="00FE60D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4"/>
    <w:pPr>
      <w:suppressAutoHyphens/>
    </w:pPr>
    <w:rPr>
      <w:rFonts w:ascii="Calibri" w:eastAsia="Calibri" w:hAnsi="Calibri" w:cs="font3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3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7253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Основной текст 31"/>
    <w:basedOn w:val="a"/>
    <w:rsid w:val="007253E6"/>
    <w:pPr>
      <w:spacing w:before="280" w:after="280" w:line="240" w:lineRule="auto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725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5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7253E6"/>
    <w:pPr>
      <w:ind w:left="720"/>
      <w:contextualSpacing/>
    </w:pPr>
    <w:rPr>
      <w:lang w:val="uk-UA"/>
    </w:rPr>
  </w:style>
  <w:style w:type="paragraph" w:customStyle="1" w:styleId="rvps12">
    <w:name w:val="rvps12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53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253E6"/>
    <w:pPr>
      <w:ind w:left="720"/>
      <w:contextualSpacing/>
    </w:pPr>
  </w:style>
  <w:style w:type="character" w:customStyle="1" w:styleId="rvts23">
    <w:name w:val="rvts23"/>
    <w:basedOn w:val="a0"/>
    <w:qFormat/>
    <w:rsid w:val="007253E6"/>
    <w:rPr>
      <w:rFonts w:cs="Times New Roman"/>
    </w:rPr>
  </w:style>
  <w:style w:type="character" w:customStyle="1" w:styleId="rvts9">
    <w:name w:val="rvts9"/>
    <w:basedOn w:val="a0"/>
    <w:qFormat/>
    <w:rsid w:val="007253E6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7253E6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5B1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B1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4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744397"/>
    <w:rPr>
      <w:rFonts w:ascii="Courier New" w:eastAsia="Times New Roman" w:hAnsi="Courier New" w:cs="Courier New"/>
      <w:color w:val="000000"/>
      <w:sz w:val="21"/>
      <w:szCs w:val="21"/>
      <w:lang w:val="uk-UA" w:eastAsia="ru-RU"/>
    </w:rPr>
  </w:style>
  <w:style w:type="paragraph" w:customStyle="1" w:styleId="rvps17">
    <w:name w:val="rvps17"/>
    <w:basedOn w:val="a"/>
    <w:rsid w:val="00EC32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EC3200"/>
  </w:style>
  <w:style w:type="character" w:customStyle="1" w:styleId="rvts15">
    <w:name w:val="rvts15"/>
    <w:basedOn w:val="a0"/>
    <w:rsid w:val="00EC3200"/>
  </w:style>
  <w:style w:type="paragraph" w:styleId="a9">
    <w:name w:val="Balloon Text"/>
    <w:basedOn w:val="a"/>
    <w:link w:val="aa"/>
    <w:uiPriority w:val="99"/>
    <w:semiHidden/>
    <w:unhideWhenUsed/>
    <w:rsid w:val="00EC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200"/>
    <w:rPr>
      <w:rFonts w:ascii="Tahoma" w:eastAsia="Calibri" w:hAnsi="Tahoma" w:cs="Tahoma"/>
      <w:sz w:val="16"/>
      <w:szCs w:val="16"/>
    </w:rPr>
  </w:style>
  <w:style w:type="paragraph" w:customStyle="1" w:styleId="2">
    <w:name w:val="Абзац списка2"/>
    <w:basedOn w:val="a"/>
    <w:rsid w:val="00C63D67"/>
    <w:pPr>
      <w:widowControl w:val="0"/>
      <w:ind w:left="720"/>
      <w:contextualSpacing/>
    </w:pPr>
    <w:rPr>
      <w:rFonts w:ascii="Cambria" w:eastAsia="Liberation Serif" w:hAnsi="Cambria" w:cs="Cambria"/>
      <w:kern w:val="2"/>
      <w:lang w:val="uk-UA" w:bidi="hi-IN"/>
    </w:rPr>
  </w:style>
  <w:style w:type="paragraph" w:styleId="ab">
    <w:name w:val="footer"/>
    <w:basedOn w:val="a"/>
    <w:link w:val="ac"/>
    <w:uiPriority w:val="99"/>
    <w:unhideWhenUsed/>
    <w:rsid w:val="000F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D7A"/>
    <w:rPr>
      <w:rFonts w:ascii="Calibri" w:eastAsia="Calibri" w:hAnsi="Calibri" w:cs="font3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4"/>
    <w:pPr>
      <w:suppressAutoHyphens/>
    </w:pPr>
    <w:rPr>
      <w:rFonts w:ascii="Calibri" w:eastAsia="Calibri" w:hAnsi="Calibri" w:cs="font3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3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7253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Основной текст 31"/>
    <w:basedOn w:val="a"/>
    <w:rsid w:val="007253E6"/>
    <w:pPr>
      <w:spacing w:before="280" w:after="280" w:line="240" w:lineRule="auto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725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5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7253E6"/>
    <w:pPr>
      <w:ind w:left="720"/>
      <w:contextualSpacing/>
    </w:pPr>
    <w:rPr>
      <w:lang w:val="uk-UA"/>
    </w:rPr>
  </w:style>
  <w:style w:type="paragraph" w:customStyle="1" w:styleId="rvps12">
    <w:name w:val="rvps12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53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253E6"/>
    <w:pPr>
      <w:ind w:left="720"/>
      <w:contextualSpacing/>
    </w:pPr>
  </w:style>
  <w:style w:type="character" w:customStyle="1" w:styleId="rvts23">
    <w:name w:val="rvts23"/>
    <w:basedOn w:val="a0"/>
    <w:qFormat/>
    <w:rsid w:val="007253E6"/>
    <w:rPr>
      <w:rFonts w:cs="Times New Roman"/>
    </w:rPr>
  </w:style>
  <w:style w:type="character" w:customStyle="1" w:styleId="rvts9">
    <w:name w:val="rvts9"/>
    <w:basedOn w:val="a0"/>
    <w:qFormat/>
    <w:rsid w:val="007253E6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7253E6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5B1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B1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4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744397"/>
    <w:rPr>
      <w:rFonts w:ascii="Courier New" w:eastAsia="Times New Roman" w:hAnsi="Courier New" w:cs="Courier New"/>
      <w:color w:val="000000"/>
      <w:sz w:val="21"/>
      <w:szCs w:val="21"/>
      <w:lang w:val="uk-UA" w:eastAsia="ru-RU"/>
    </w:rPr>
  </w:style>
  <w:style w:type="paragraph" w:customStyle="1" w:styleId="rvps17">
    <w:name w:val="rvps17"/>
    <w:basedOn w:val="a"/>
    <w:rsid w:val="00EC32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EC3200"/>
  </w:style>
  <w:style w:type="character" w:customStyle="1" w:styleId="rvts15">
    <w:name w:val="rvts15"/>
    <w:basedOn w:val="a0"/>
    <w:rsid w:val="00EC3200"/>
  </w:style>
  <w:style w:type="paragraph" w:styleId="a9">
    <w:name w:val="Balloon Text"/>
    <w:basedOn w:val="a"/>
    <w:link w:val="aa"/>
    <w:uiPriority w:val="99"/>
    <w:semiHidden/>
    <w:unhideWhenUsed/>
    <w:rsid w:val="00EC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200"/>
    <w:rPr>
      <w:rFonts w:ascii="Tahoma" w:eastAsia="Calibri" w:hAnsi="Tahoma" w:cs="Tahoma"/>
      <w:sz w:val="16"/>
      <w:szCs w:val="16"/>
    </w:rPr>
  </w:style>
  <w:style w:type="paragraph" w:customStyle="1" w:styleId="2">
    <w:name w:val="Абзац списка2"/>
    <w:basedOn w:val="a"/>
    <w:rsid w:val="00C63D67"/>
    <w:pPr>
      <w:widowControl w:val="0"/>
      <w:ind w:left="720"/>
      <w:contextualSpacing/>
    </w:pPr>
    <w:rPr>
      <w:rFonts w:ascii="Cambria" w:eastAsia="Liberation Serif" w:hAnsi="Cambria" w:cs="Cambria"/>
      <w:kern w:val="2"/>
      <w:lang w:val="uk-UA" w:bidi="hi-IN"/>
    </w:rPr>
  </w:style>
  <w:style w:type="paragraph" w:styleId="ab">
    <w:name w:val="footer"/>
    <w:basedOn w:val="a"/>
    <w:link w:val="ac"/>
    <w:uiPriority w:val="99"/>
    <w:unhideWhenUsed/>
    <w:rsid w:val="000F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D7A"/>
    <w:rPr>
      <w:rFonts w:ascii="Calibri" w:eastAsia="Calibri" w:hAnsi="Calibri" w:cs="font3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573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2059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3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61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301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15407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7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8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2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c.gov.ua/ua/Rehuliatorna-diialnis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c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5492-1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4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7D"/>
    <w:rsid w:val="0019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C7381A9F3F4747AC1E1387E333E9B0">
    <w:name w:val="17C7381A9F3F4747AC1E1387E333E9B0"/>
    <w:rsid w:val="00194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C7381A9F3F4747AC1E1387E333E9B0">
    <w:name w:val="17C7381A9F3F4747AC1E1387E333E9B0"/>
    <w:rsid w:val="00194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E56E-E342-4B53-9DDA-C0FA0F2D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5458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Якименко Катерина Володимирівна</cp:lastModifiedBy>
  <cp:revision>5</cp:revision>
  <dcterms:created xsi:type="dcterms:W3CDTF">2022-07-21T12:24:00Z</dcterms:created>
  <dcterms:modified xsi:type="dcterms:W3CDTF">2022-07-21T14:53:00Z</dcterms:modified>
</cp:coreProperties>
</file>