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про виконання Плану заходів на 2023–2024 роки з реалізації Національної стратегії із створення безбар’єрного простору в Україні на період до 2030 року (далі – План заходів) Комісією з регулювання азартних ігор та лотерей 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станом на 01.01.2025</w:t>
      </w:r>
    </w:p>
    <w:p>
      <w:pPr>
        <w:spacing w:after="0" w:beforeAutospacing="0" w:afterAutospacing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5289" w:type="pct"/>
        <w:tblInd w:w="-431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736"/>
          <w:tblHeader/>
        </w:trPr>
        <w:tc>
          <w:tcPr>
            <w:tcW w:w="180" w:type="pct"/>
          </w:tcPr>
          <w:p>
            <w:pPr>
              <w:spacing w:after="0" w:beforeAutospacing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486" w:type="pct"/>
            <w:vAlign w:val="center"/>
            <w:hideMark/>
          </w:tcPr>
          <w:p>
            <w:pPr>
              <w:spacing w:after="0" w:beforeAutospacing="0" w:afterAutospacing="0"/>
              <w:ind w:right="-1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3333" w:type="pct"/>
            <w:vAlign w:val="center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Інформація про виконання</w:t>
            </w:r>
          </w:p>
        </w:tc>
      </w:tr>
      <w:tr>
        <w:trPr>
          <w:trHeight w:hRule="atLeast" w:val="407"/>
        </w:trPr>
        <w:tc>
          <w:tcPr>
            <w:tcW w:w="5000" w:type="pct"/>
            <w:gridSpan w:val="3"/>
          </w:tcPr>
          <w:p>
            <w:pPr>
              <w:tabs>
                <w:tab w:val="left" w:pos="1035" w:leader="none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Напрям 1. Фізична безбар’єрність</w:t>
            </w:r>
          </w:p>
        </w:tc>
      </w:tr>
      <w:tr>
        <w:trPr>
          <w:trHeight w:hRule="atLeast" w:val="215"/>
        </w:trPr>
        <w:tc>
          <w:tcPr>
            <w:tcW w:w="5000" w:type="pct"/>
            <w:gridSpan w:val="3"/>
          </w:tcPr>
          <w:p>
            <w:pPr>
              <w:tabs>
                <w:tab w:val="left" w:pos="1035" w:leader="none"/>
              </w:tabs>
              <w:spacing w:after="0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Стратегічна ціль: системи моніторингу і контролю забезпечують застосування норм і стандартів доступності об’єктів фізичного оточення і транспорту </w:t>
            </w:r>
          </w:p>
        </w:tc>
      </w:tr>
      <w:tr>
        <w:trPr>
          <w:trHeight w:hRule="atLeast" w:val="2485"/>
        </w:trPr>
        <w:tc>
          <w:tcPr>
            <w:tcW w:w="180" w:type="pct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86" w:type="pct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 Забезпечення оприлюднення результатів виконання Національної стратегії із створення безбар’єрного простору в Україні на період до 2030 року: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оприлюднення на офіційному вебсайті інформації про виконання кожного завершеного заходу</w:t>
            </w:r>
          </w:p>
        </w:tc>
        <w:tc>
          <w:tcPr>
            <w:tcW w:w="3333" w:type="pct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Інформація про виконання КРАІЛ Плану заходів розміщується на офіційному вебсайті КРАІЛ у розділі «Головна/Діяльність/Стратегія та європейська інтеграція»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hyperlink xmlns:r="http://schemas.openxmlformats.org/officeDocument/2006/relationships" r:id="R2">
              <w:r>
                <w:rPr>
                  <w:rStyle w:val="C2"/>
                  <w:rFonts w:ascii="Times New Roman" w:hAnsi="Times New Roman"/>
                  <w:sz w:val="28"/>
                  <w:szCs w:val="28"/>
                  <w:lang w:val="uk-UA" w:eastAsia="uk-UA"/>
                </w:rPr>
                <w:t>посилання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).</w:t>
            </w:r>
          </w:p>
        </w:tc>
      </w:tr>
      <w:tr>
        <w:trPr>
          <w:trHeight w:hRule="atLeast" w:val="203"/>
          <w:tblHeader/>
        </w:trPr>
        <w:tc>
          <w:tcPr>
            <w:tcW w:w="5000" w:type="pct"/>
            <w:gridSpan w:val="3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Стратегічна ціль: об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>
        <w:trPr>
          <w:trHeight w:hRule="atLeast" w:val="20"/>
        </w:trPr>
        <w:tc>
          <w:tcPr>
            <w:tcW w:w="180" w:type="pct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86" w:type="pct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 Пристосування головних входів і приміщень будівель міністерств, інших центральних органів виконавчої влади та місцевих держадміністрацій, центрів надання адміністративних послуг для використання маломобільними групами населення, зокрема особами з інвалідністю:</w:t>
            </w:r>
          </w:p>
          <w:p>
            <w:pPr>
              <w:spacing w:before="120" w:after="0" w:beforeAutospacing="0" w:afterAutospacing="0"/>
              <w:ind w:hanging="3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проведення відповідних будівельних/ ремонтних робіт</w:t>
            </w:r>
          </w:p>
        </w:tc>
        <w:tc>
          <w:tcPr>
            <w:tcW w:w="3333" w:type="pct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Структурні підрозділи КРАІЛ розміщуються 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адміністративній будівлі за адресою: м. Київ, вул. Бориса Грінченка, 3, відповідно до договору оренди нерухомого майна, що перебуває у державній власності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від 23.02.2021 № 8749. Балансоутримувач адміністративної будівлі за адресою: м. Київ, вул. Бориса Грінченка, 3, – Національна комісія з цінних паперів та фондового ринку. 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Облаштування адміністративної будівлі з урахуванням вимог щодо маломобільних груп населення здійснено балансоутримувачем будівлі, а саме: проведено роботи з облаштування вхідної групи (головного входу) до будівлі та встановлено пандус, який дублює сходи на шляху до будівлі, а також уздовж обох боків сходів і пандус</w:t>
            </w:r>
            <w:r>
              <w:rPr>
                <w:rFonts w:ascii="Times New Roman" w:hAnsi="Times New Roman"/>
                <w:smallCaps w:val="0"/>
                <w:color w:val="000000" w:themeColor="dark1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виставлено огорожу з поручнями. 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 радіусі менше 50 метрів від будівлі облаштовано місце для безоплатного паркування транспортних засобів, якими керують особи з інвалідністю або водії, які перевозять осіб з інвалідністю.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Обладнання робочих місць для осіб з інвалідністю буде забезпечено з урахуванням потреб таких осіб (у разі прийому на роботу осіб з інвалідністю). Упродовж 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  кварталу 2024 року необхідності в обладнанні робочих місць для осіб з інвалідністю не було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>
        <w:trPr>
          <w:trHeight w:hRule="atLeast" w:val="670"/>
        </w:trPr>
        <w:tc>
          <w:tcPr>
            <w:tcW w:w="180" w:type="pct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br w:type="page"/>
              <w:t>3.</w:t>
            </w:r>
          </w:p>
        </w:tc>
        <w:tc>
          <w:tcPr>
            <w:tcW w:w="1486" w:type="pct"/>
          </w:tcPr>
          <w:p>
            <w:pPr>
              <w:tabs>
                <w:tab w:val="left" w:pos="286" w:leader="none"/>
              </w:tabs>
              <w:spacing w:after="0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2) встановлення інформаційних знаків про наявність та розташування входів (виходів) для осіб з інвалідністю</w:t>
            </w:r>
          </w:p>
        </w:tc>
        <w:tc>
          <w:tcPr>
            <w:tcW w:w="3333" w:type="pct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Виготовлено та розміщено на вхідних дверях до адміністративної будівлі, у якій розміщується КРАІЛ, зовнішню табличку (дублювання назви органу та години його роботи) зі шрифтом Брайля. </w:t>
            </w:r>
          </w:p>
        </w:tc>
      </w:tr>
      <w:tr>
        <w:trPr>
          <w:trHeight w:hRule="atLeast" w:val="552"/>
        </w:trPr>
        <w:tc>
          <w:tcPr>
            <w:tcW w:w="5000" w:type="pct"/>
            <w:gridSpan w:val="3"/>
            <w:vAlign w:val="center"/>
          </w:tcPr>
          <w:p>
            <w:pPr>
              <w:spacing w:after="0" w:beforeAutospacing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Напрям 2. Інформаційна безбар’єрність</w:t>
            </w:r>
          </w:p>
        </w:tc>
      </w:tr>
      <w:tr>
        <w:trPr>
          <w:trHeight w:hRule="atLeast" w:val="844"/>
        </w:trPr>
        <w:tc>
          <w:tcPr>
            <w:tcW w:w="5000" w:type="pct"/>
            <w:gridSpan w:val="3"/>
          </w:tcPr>
          <w:p>
            <w:pPr>
              <w:spacing w:after="0" w:beforeAutospacing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Стратегічна ціль: інформація, яка надходить від суб’єктів владних повноважень та в ході судового, виборчого процесу, процесу референдуму, є доступною для кожного</w:t>
            </w:r>
          </w:p>
        </w:tc>
      </w:tr>
      <w:tr>
        <w:trPr>
          <w:trHeight w:hRule="atLeast" w:val="20"/>
        </w:trPr>
        <w:tc>
          <w:tcPr>
            <w:tcW w:w="180" w:type="pct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55697139"/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86" w:type="pct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34. Врегулювання питань щодо доступності інформації під час надання публічних послуг: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проведення моніторингу доступності інформації, що оприлюднюється центральними органами виконавчої влади (зокрема для осіб з порушеннями слуху, зору та інтелектуальними порушеннями), на їх власних вебсайтах</w:t>
            </w:r>
          </w:p>
        </w:tc>
        <w:tc>
          <w:tcPr>
            <w:tcW w:w="3333" w:type="pct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Офіційний вебсайт КРАІЛ доступний для користувачів із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«Інформаційні технології. Настанова з доступності веб-контенту W3C (WCAG) 2.0» на рівні АА.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Відповідно до абзацу другого пункту 3 постанови Кабінету Міністрів України </w:t>
              <w:br w:type="textWrapping"/>
              <w:t>від 21 липня 2023 року № 757 «Деякі питання доступності інформаційно-комунікаційних систем та документів в електронній формі», при здійсненні заходів щодо створення, модернізації, розвитку, адміністрування і забезпечення функціонування інформаційних, електронних комунікаційних та інформаційно-комунікаційних систем КРАІЛ забезпечить дотримання вимог ДСТУ EN 301 549:2022 «Інформаційні технології. Вимоги щодо доступності продуктів та послуг ІКТ».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Подання звернень (у тому числі повідомлень про порушення та заяв про самообмеження/обмеження) до КРАІЛ забезпечено як особисто, так і в електронному вигляді (через засоби телекомунікаційного зв’язку). 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метою покращення взаємодії громадян з КРАІЛ впроваджені сервіси та заходи, які забезпечили подання заяви про самообмеження онлайн не виходячи з дому, а також можливість повідомити про порушення у сфері азартних ігор онлайн через спеціальну форму на офіційному вебсайті КРАІЛ та на телефон безкоштовної гарячої лінії </w:t>
              <w:br w:type="textWrapping"/>
              <w:t xml:space="preserve">(0800) 50-13-77. </w:t>
            </w:r>
          </w:p>
        </w:tc>
      </w:tr>
      <w:tr>
        <w:trPr>
          <w:trHeight w:hRule="atLeast" w:val="296"/>
        </w:trPr>
        <w:tc>
          <w:tcPr>
            <w:tcW w:w="5000" w:type="pct"/>
            <w:gridSpan w:val="3"/>
            <w:vAlign w:val="center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Стратегічна ціль: інформація, необхідна для задоволення щоденних потреб громадян, є доступною та актуальною</w:t>
            </w:r>
          </w:p>
        </w:tc>
      </w:tr>
      <w:tr>
        <w:trPr>
          <w:trHeight w:hRule="atLeast" w:val="20"/>
        </w:trPr>
        <w:tc>
          <w:tcPr>
            <w:tcW w:w="180" w:type="pct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86" w:type="pct"/>
          </w:tcPr>
          <w:p>
            <w:pPr>
              <w:spacing w:after="0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50. Проведення інформаційної кампанії «Україна без бар’єрів»: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1) забезпечення проведення інформаційно-просвітницької кампанії «Україна без бар’єрів»</w:t>
            </w:r>
          </w:p>
        </w:tc>
        <w:tc>
          <w:tcPr>
            <w:tcW w:w="3333" w:type="pct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КРАІЛ забезпечено розміщення інформації щодо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Національної стратегії із створення безбар’єрного простору в Україні на період до 2030 року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на офіційному вебсайті КРАІЛ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підзаголовку «</w:t>
            </w:r>
            <w:r>
              <w:rPr>
                <w:rStyle w:val="C8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Корисні матеріали для обізнаності громадян в рамках інформаційно-просвітницької кампанії «Україна без бар’єрів»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розділу «Головна/Діяльність/Стратегія та європейська інтеграція»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hyperlink xmlns:r="http://schemas.openxmlformats.org/officeDocument/2006/relationships" r:id="R3">
              <w:r>
                <w:rPr>
                  <w:rStyle w:val="C2"/>
                  <w:rFonts w:ascii="Times New Roman" w:hAnsi="Times New Roman"/>
                  <w:sz w:val="28"/>
                  <w:szCs w:val="28"/>
                  <w:lang w:val="uk-UA" w:eastAsia="uk-UA"/>
                </w:rPr>
                <w:t>посилання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).</w:t>
            </w:r>
          </w:p>
        </w:tc>
      </w:tr>
    </w:tbl>
    <w:p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</w:t>
      </w:r>
    </w:p>
    <w:sectPr>
      <w:headerReference xmlns:r="http://schemas.openxmlformats.org/officeDocument/2006/relationships" w:type="default" r:id="RelHdr1"/>
      <w:footnotePr/>
      <w:endnotePr/>
      <w:type w:val="nextPage"/>
      <w:pgSz w:w="16838" w:h="11906" w:code="0" w:orient="landscape"/>
      <w:pgMar w:left="1134" w:right="820" w:top="851" w:bottom="993" w:header="1563" w:footer="708" w:gutter="0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 w:val="1"/>
        <w:sz w:val="28"/>
        <w:szCs w:val="28"/>
        <w:lang w:val="uk-UA"/>
      </w:rPr>
      <w:t>#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0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59" w:after="160" w:beforeAutospacing="0" w:afterAutospacing="0"/>
    </w:pPr>
    <w:rPr>
      <w:sz w:val="22"/>
      <w:kern w:val="2"/>
      <w:lang w:val="ru-RU" w:eastAsia="en-US"/>
    </w:rPr>
  </w:style>
  <w:style w:type="paragraph" w:styleId="P1">
    <w:name w:val="head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2">
    <w:name w:val="footer"/>
    <w:basedOn w:val="P0"/>
    <w:link w:val="C5"/>
    <w:pPr>
      <w:tabs>
        <w:tab w:val="center" w:pos="4819" w:leader="none"/>
        <w:tab w:val="right" w:pos="9639" w:leader="none"/>
      </w:tabs>
    </w:pPr>
    <w:rPr/>
  </w:style>
  <w:style w:type="paragraph" w:styleId="P3">
    <w:name w:val="Balloon Text"/>
    <w:basedOn w:val="P0"/>
    <w:link w:val="C6"/>
    <w:semiHidden/>
    <w:pPr>
      <w:spacing w:lineRule="auto" w:line="240" w:after="0" w:beforeAutospacing="0" w:afterAutospacing="0"/>
    </w:pPr>
    <w:rPr>
      <w:rFonts w:ascii="Tahoma" w:hAnsi="Tahoma"/>
      <w:sz w:val="16"/>
      <w:szCs w:val="16"/>
    </w:rPr>
  </w:style>
  <w:style w:type="paragraph" w:styleId="P4">
    <w:name w:val="footnote text"/>
    <w:link w:val="C10"/>
    <w:semiHidden/>
    <w:pPr/>
    <w:rPr>
      <w:szCs w:val="20"/>
    </w:rPr>
  </w:style>
  <w:style w:type="paragraph" w:styleId="P5">
    <w:name w:val="endnote text"/>
    <w:link w:val="C12"/>
    <w:semiHidden/>
    <w:pPr/>
    <w:rPr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Верхній колонтитул Знак"/>
    <w:link w:val="P1"/>
    <w:rPr>
      <w:sz w:val="22"/>
      <w:szCs w:val="22"/>
      <w:kern w:val="2"/>
      <w:lang w:val="ru-RU" w:eastAsia="en-US"/>
    </w:rPr>
  </w:style>
  <w:style w:type="character" w:styleId="C5">
    <w:name w:val="Нижній колонтитул Знак"/>
    <w:link w:val="P2"/>
    <w:rPr>
      <w:sz w:val="22"/>
      <w:szCs w:val="22"/>
      <w:kern w:val="2"/>
      <w:lang w:val="ru-RU" w:eastAsia="en-US"/>
    </w:rPr>
  </w:style>
  <w:style w:type="character" w:styleId="C6">
    <w:name w:val="Текст у виносці Знак"/>
    <w:basedOn w:val="C0"/>
    <w:link w:val="P3"/>
    <w:semiHidden/>
    <w:rPr>
      <w:rFonts w:ascii="Tahoma" w:hAnsi="Tahoma"/>
      <w:sz w:val="16"/>
      <w:szCs w:val="16"/>
      <w:kern w:val="2"/>
      <w:lang w:val="ru-RU" w:eastAsia="en-US"/>
    </w:rPr>
  </w:style>
  <w:style w:type="character" w:styleId="C7">
    <w:name w:val="Unresolved Mention"/>
    <w:basedOn w:val="C0"/>
    <w:semiHidden/>
    <w:rPr>
      <w:color w:val="605E5C"/>
      <w:shd w:val="clear" w:color="auto" w:fill="E1DFDD"/>
    </w:rPr>
  </w:style>
  <w:style w:type="character" w:styleId="C8">
    <w:name w:val="Strong"/>
    <w:basedOn w:val="C0"/>
    <w:qFormat/>
    <w:rPr>
      <w:b w:val="1"/>
      <w:bCs w:val="1"/>
    </w:rPr>
  </w:style>
  <w:style w:type="character" w:styleId="C9">
    <w:name w:val="footnote reference"/>
    <w:semiHidden/>
    <w:rPr>
      <w:vertAlign w:val="superscript"/>
    </w:rPr>
  </w:style>
  <w:style w:type="character" w:styleId="C10">
    <w:name w:val="Текст виноски Знак"/>
    <w:link w:val="P4"/>
    <w:semiHidden/>
    <w:rPr>
      <w:sz w:val="20"/>
      <w:szCs w:val="20"/>
    </w:rPr>
  </w:style>
  <w:style w:type="character" w:styleId="C11">
    <w:name w:val="endnote reference"/>
    <w:semiHidden/>
    <w:rPr>
      <w:vertAlign w:val="superscript"/>
    </w:rPr>
  </w:style>
  <w:style w:type="character" w:styleId="C12">
    <w:name w:val="Текст кінцевої виноски Знак"/>
    <w:link w:val="P5"/>
    <w:semiHidden/>
    <w:rPr>
      <w:sz w:val="20"/>
      <w:szCs w:val="20"/>
    </w:rPr>
  </w:style>
  <w:style w:type="character" w:styleId="C13">
    <w:name w:val="FollowedHyperlink"/>
    <w:basedOn w:val="C0"/>
    <w:semiHidden/>
    <w:rPr>
      <w:color w:val="954F72" w:themeColor="followedHyperlink"/>
      <w:u w:val="single"/>
    </w:rPr>
  </w:style>
  <w:style w:type="character" w:styleId="C14">
    <w:name w:val="Footnote Text Char"/>
    <w:semiHidden/>
    <w:rPr>
      <w:sz w:val="20"/>
      <w:szCs w:val="20"/>
    </w:rPr>
  </w:style>
  <w:style w:type="character" w:styleId="C15">
    <w:name w:val="Endnote Text Char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www.gc.gov.ua/ua/Stratehichna-diialnist.html" TargetMode="External" /><Relationship Id="R3" Type="http://schemas.openxmlformats.org/officeDocument/2006/relationships/hyperlink" Target="https://www.gc.gov.ua/ua/Stratehichna-diialnist.html" TargetMode="External" /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429b-45af-4238-8587-070d4b8fe142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Каліновська Олена Миколаївна</dc:creator>
  <dcterms:created xsi:type="dcterms:W3CDTF">2025-03-11T07:03:00Z</dcterms:created>
  <cp:lastModifiedBy>ASKOD</cp:lastModifiedBy>
  <cp:lastPrinted>2024-10-04T11:46:00Z</cp:lastPrinted>
  <dcterms:modified xsi:type="dcterms:W3CDTF">2025-03-11T08:19:56Z</dcterms:modified>
  <cp:revision>7</cp:revision>
</cp:coreProperties>
</file>